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77CA" w:rsidP="00806917" w:rsidRDefault="66F7F6E1" w14:paraId="003F6272" w14:textId="7B3F2C0D">
      <w:pPr>
        <w:jc w:val="center"/>
        <w:rPr>
          <w:sz w:val="28"/>
          <w:szCs w:val="28"/>
        </w:rPr>
      </w:pPr>
      <w:r w:rsidRPr="38929D82">
        <w:rPr>
          <w:sz w:val="28"/>
          <w:szCs w:val="28"/>
        </w:rPr>
        <w:t>Πρωτόκολλο Έρευνας</w:t>
      </w:r>
    </w:p>
    <w:p w:rsidR="66F7F6E1" w:rsidP="64995E9E" w:rsidRDefault="66F7F6E1" w14:paraId="29F76A5E" w14:textId="459CE975">
      <w:pPr>
        <w:rPr>
          <w:rFonts w:ascii="Times New Roman" w:hAnsi="Times New Roman" w:eastAsia="Times New Roman" w:cs="Times New Roman"/>
          <w:sz w:val="28"/>
          <w:szCs w:val="28"/>
        </w:rPr>
      </w:pPr>
      <w:r w:rsidRPr="64995E9E" w:rsidR="54D57E0A">
        <w:rPr>
          <w:sz w:val="28"/>
          <w:szCs w:val="28"/>
        </w:rPr>
        <w:t xml:space="preserve">Τίτλος: </w:t>
      </w:r>
      <w:r w:rsidRPr="64995E9E" w:rsidR="2793C286">
        <w:rPr>
          <w:rFonts w:ascii="Times New Roman" w:hAnsi="Times New Roman" w:eastAsia="Times New Roman" w:cs="Times New Roman"/>
          <w:color w:val="000000" w:themeColor="text1" w:themeTint="FF" w:themeShade="FF"/>
        </w:rPr>
        <w:t>Ο Ρόλος της Ανακουφιστικής Φροντίδας στην Πρόληψη των Συμπτωμάτων</w:t>
      </w:r>
      <w:r w:rsidRPr="64995E9E" w:rsidR="4C38600A">
        <w:rPr>
          <w:rFonts w:ascii="Times New Roman" w:hAnsi="Times New Roman" w:eastAsia="Times New Roman" w:cs="Times New Roman"/>
          <w:color w:val="000000" w:themeColor="text1" w:themeTint="FF" w:themeShade="FF"/>
        </w:rPr>
        <w:t xml:space="preserve"> </w:t>
      </w:r>
      <w:r w:rsidRPr="64995E9E" w:rsidR="2793C286">
        <w:rPr>
          <w:rFonts w:ascii="Times New Roman" w:hAnsi="Times New Roman" w:eastAsia="Times New Roman" w:cs="Times New Roman"/>
          <w:color w:val="000000" w:themeColor="text1" w:themeTint="FF" w:themeShade="FF"/>
        </w:rPr>
        <w:t xml:space="preserve"> </w:t>
      </w:r>
      <w:r w:rsidRPr="64995E9E" w:rsidR="2793C286">
        <w:rPr>
          <w:rFonts w:ascii="Times New Roman" w:hAnsi="Times New Roman" w:eastAsia="Times New Roman" w:cs="Times New Roman"/>
          <w:color w:val="000000" w:themeColor="text1" w:themeTint="FF" w:themeShade="FF"/>
        </w:rPr>
        <w:t>Μετατραυματικού</w:t>
      </w:r>
      <w:r w:rsidRPr="64995E9E" w:rsidR="2793C286">
        <w:rPr>
          <w:rFonts w:ascii="Times New Roman" w:hAnsi="Times New Roman" w:eastAsia="Times New Roman" w:cs="Times New Roman"/>
          <w:color w:val="000000" w:themeColor="text1" w:themeTint="FF" w:themeShade="FF"/>
        </w:rPr>
        <w:t xml:space="preserve"> Στρες σε </w:t>
      </w:r>
      <w:r w:rsidRPr="64995E9E" w:rsidR="2793C286">
        <w:rPr>
          <w:rFonts w:ascii="Times New Roman" w:hAnsi="Times New Roman" w:eastAsia="Times New Roman" w:cs="Times New Roman"/>
          <w:color w:val="000000" w:themeColor="text1" w:themeTint="FF" w:themeShade="FF"/>
        </w:rPr>
        <w:t>Πενθούντες</w:t>
      </w:r>
      <w:r w:rsidRPr="64995E9E" w:rsidR="2793C286">
        <w:rPr>
          <w:rFonts w:ascii="Times New Roman" w:hAnsi="Times New Roman" w:eastAsia="Times New Roman" w:cs="Times New Roman"/>
          <w:color w:val="000000" w:themeColor="text1" w:themeTint="FF" w:themeShade="FF"/>
        </w:rPr>
        <w:t xml:space="preserve"> Φροντιστές Ασθενών με Καρκίνο</w:t>
      </w:r>
    </w:p>
    <w:p w:rsidR="38929D82" w:rsidP="64995E9E" w:rsidRDefault="38929D82" w14:paraId="349CEB1D" w14:textId="7822DDD3">
      <w:pPr>
        <w:spacing w:line="360" w:lineRule="auto"/>
        <w:rPr>
          <w:rFonts w:ascii="Times New Roman" w:hAnsi="Times New Roman" w:eastAsia="Times New Roman" w:cs="Times New Roman"/>
          <w:color w:val="000000" w:themeColor="text1"/>
        </w:rPr>
      </w:pPr>
    </w:p>
    <w:p w:rsidR="66F7F6E1" w:rsidP="64995E9E" w:rsidRDefault="66F7F6E1" w14:paraId="5B163F00" w14:textId="1163A6DD">
      <w:pPr>
        <w:pStyle w:val="Heading2"/>
        <w:numPr>
          <w:ilvl w:val="0"/>
          <w:numId w:val="5"/>
        </w:numPr>
        <w:spacing w:line="360" w:lineRule="auto"/>
        <w:rPr>
          <w:rFonts w:ascii="Times New Roman" w:hAnsi="Times New Roman" w:eastAsia="Times New Roman" w:cs="Times New Roman"/>
          <w:color w:val="auto"/>
          <w:sz w:val="24"/>
          <w:szCs w:val="24"/>
        </w:rPr>
      </w:pPr>
      <w:r w:rsidRPr="64995E9E" w:rsidR="2793C286">
        <w:rPr>
          <w:rFonts w:ascii="Times New Roman" w:hAnsi="Times New Roman" w:eastAsia="Times New Roman" w:cs="Times New Roman"/>
          <w:color w:val="auto"/>
          <w:sz w:val="24"/>
          <w:szCs w:val="24"/>
        </w:rPr>
        <w:t>Σκοπός της Έρευνας</w:t>
      </w:r>
    </w:p>
    <w:p w:rsidRPr="00275D64" w:rsidR="0B1271D8" w:rsidP="64995E9E" w:rsidRDefault="0B1271D8" w14:paraId="04CFE225" w14:textId="7EE4F2CF">
      <w:pPr>
        <w:spacing w:line="360" w:lineRule="auto"/>
        <w:jc w:val="both"/>
      </w:pPr>
      <w:r w:rsidRPr="64995E9E" w:rsidR="02DB27F8">
        <w:rPr>
          <w:rFonts w:ascii="Times New Roman" w:hAnsi="Times New Roman" w:eastAsia="Times New Roman" w:cs="Times New Roman"/>
        </w:rPr>
        <w:t>Σκοπός της παρούσας έρευνας είναι η διερεύνηση του ρόλου της ανακουφιστικής φροντίδας που παρέχεται σε ασθενείς με καρκίνο κατά τη διάρκεια της νόσου τους, ως πιθανού προστατευτικού παράγοντα για την ψυχική υγεία των πενθούντων φροντιστών τους μετά τον θάνατο του ασθενούς. Ειδικότερα, η μελέτη αποσκοπεί στην εξέταση του κατά πόσο η ύπαρξη, η εμπειρία και η ποιότητα της παρεχόμενης ανακουφιστικής φροντίδας σχετίζονται με χαμηλότερα επίπεδα συμπτωμάτων μετατραυματικού στρες, παρατεταμένου πένθους και καταθλιπτικής συμπτωματολογίας κατά την περίοδο του πένθους</w:t>
      </w:r>
      <w:r w:rsidRPr="64995E9E" w:rsidR="2541ADF3">
        <w:rPr>
          <w:rFonts w:ascii="Times New Roman" w:hAnsi="Times New Roman" w:eastAsia="Times New Roman" w:cs="Times New Roman"/>
        </w:rPr>
        <w:t>.</w:t>
      </w:r>
    </w:p>
    <w:p w:rsidR="38929D82" w:rsidP="64995E9E" w:rsidRDefault="38929D82" w14:paraId="44CF72AE" w14:textId="6840C718">
      <w:pPr>
        <w:spacing w:line="360" w:lineRule="auto"/>
        <w:rPr>
          <w:rFonts w:ascii="Times New Roman" w:hAnsi="Times New Roman" w:eastAsia="Times New Roman" w:cs="Times New Roman"/>
        </w:rPr>
      </w:pPr>
    </w:p>
    <w:p w:rsidR="65B6BE65" w:rsidP="64995E9E" w:rsidRDefault="65B6BE65" w14:paraId="7B1C4A01" w14:textId="771B7080">
      <w:pPr>
        <w:pStyle w:val="Heading2"/>
        <w:numPr>
          <w:ilvl w:val="0"/>
          <w:numId w:val="5"/>
        </w:numPr>
        <w:spacing w:line="360" w:lineRule="auto"/>
        <w:rPr>
          <w:rFonts w:ascii="Times New Roman" w:hAnsi="Times New Roman" w:eastAsia="Times New Roman" w:cs="Times New Roman"/>
          <w:color w:val="auto"/>
          <w:sz w:val="24"/>
          <w:szCs w:val="24"/>
        </w:rPr>
      </w:pPr>
      <w:r w:rsidRPr="64995E9E" w:rsidR="71A6C551">
        <w:rPr>
          <w:rFonts w:ascii="Times New Roman" w:hAnsi="Times New Roman" w:eastAsia="Times New Roman" w:cs="Times New Roman"/>
          <w:color w:val="auto"/>
          <w:sz w:val="24"/>
          <w:szCs w:val="24"/>
        </w:rPr>
        <w:t>Θεωρητικό Υπόβαθρο</w:t>
      </w:r>
    </w:p>
    <w:p w:rsidR="65B6BE65" w:rsidP="64995E9E" w:rsidRDefault="65B6BE65" w14:paraId="50576A76" w14:textId="6F32BD32">
      <w:pPr>
        <w:spacing w:line="360" w:lineRule="auto"/>
        <w:jc w:val="both"/>
      </w:pPr>
      <w:r w:rsidRPr="64995E9E" w:rsidR="71A6C551">
        <w:rPr>
          <w:rFonts w:ascii="Times New Roman" w:hAnsi="Times New Roman" w:eastAsia="Times New Roman" w:cs="Times New Roman"/>
        </w:rPr>
        <w:t>Η παρούσα μελέτη βασίζεται στη σύγχρονη αντίληψη της ανακουφιστικής φροντίδας ως μιας ολιστικής προσέγγισης, η οποία δεν εστιάζει αποκλειστικά στον ασθενή αλλά επεκτείνεται και στην υποστήριξη της οικογένειας και των φροντιστών του. Σύμφωνα με τις αρχές της ανακουφιστικής φροντίδας, η βελτίωση της ποιότητας ζωής αφορά τόσο τον πάσχοντα όσο και το άμεσο υποστηρικτικό του περιβάλλον, αναγνωρίζοντας ότι η σοβαρή νόσος επηρεάζει ολόκληρο το οικογενειακό σύστημα.</w:t>
      </w:r>
    </w:p>
    <w:p w:rsidR="65B6BE65" w:rsidP="64995E9E" w:rsidRDefault="65B6BE65" w14:paraId="5F87F280" w14:textId="2958DF1F">
      <w:pPr>
        <w:pStyle w:val="Normal"/>
        <w:spacing w:line="360" w:lineRule="auto"/>
        <w:jc w:val="both"/>
      </w:pPr>
      <w:r w:rsidRPr="64995E9E" w:rsidR="71A6C551">
        <w:rPr>
          <w:rFonts w:ascii="Times New Roman" w:hAnsi="Times New Roman" w:eastAsia="Times New Roman" w:cs="Times New Roman"/>
        </w:rPr>
        <w:t xml:space="preserve">Παρότι η διεθνής βιβλιογραφία έχει αναδείξει τη σημαντική ψυχολογική επιβάρυνση των φροντιστών ασθενών με καρκίνο, καθώς και την αυξημένη πιθανότητα εμφάνισης συμπτωμάτων άγχους, κατάθλιψης και ψυχικής εξουθένωσης, η ψυχική προσαρμογή των φροντιστών μετά τον θάνατο του ασθενούς παραμένει ένα πεδίο που έχει διερευνηθεί σε μικρότερο βαθμό. Ειδικότερα, περιορισμένα είναι τα διαθέσιμα δεδομένα σχετικά με τον ρόλο της ανακουφιστικής φροντίδας ως πιθανού προστατευτικού παράγοντα έναντι της εμφάνισης συμπτωμάτων </w:t>
      </w:r>
      <w:r w:rsidRPr="64995E9E" w:rsidR="71A6C551">
        <w:rPr>
          <w:rFonts w:ascii="Times New Roman" w:hAnsi="Times New Roman" w:eastAsia="Times New Roman" w:cs="Times New Roman"/>
        </w:rPr>
        <w:t>μετατραυματικού</w:t>
      </w:r>
      <w:r w:rsidRPr="64995E9E" w:rsidR="71A6C551">
        <w:rPr>
          <w:rFonts w:ascii="Times New Roman" w:hAnsi="Times New Roman" w:eastAsia="Times New Roman" w:cs="Times New Roman"/>
        </w:rPr>
        <w:t xml:space="preserve"> στρες, παρατεταμένου πένθους και καταθλιπτικής συμπτωματολογίας κατά την περίοδο του πένθους</w:t>
      </w:r>
      <w:r w:rsidRPr="64995E9E" w:rsidR="0BA49299">
        <w:rPr>
          <w:rFonts w:ascii="Times New Roman" w:hAnsi="Times New Roman" w:eastAsia="Times New Roman" w:cs="Times New Roman"/>
        </w:rPr>
        <w:t xml:space="preserve"> (</w:t>
      </w:r>
      <w:r w:rsidRPr="64995E9E" w:rsidR="0BA49299">
        <w:rPr>
          <w:rFonts w:ascii="Times New Roman" w:hAnsi="Times New Roman" w:eastAsia="Times New Roman" w:cs="Times New Roman"/>
          <w:noProof w:val="0"/>
          <w:sz w:val="24"/>
          <w:szCs w:val="24"/>
          <w:lang w:val="el-GR"/>
        </w:rPr>
        <w:t xml:space="preserve">Hudson </w:t>
      </w:r>
      <w:r w:rsidRPr="64995E9E" w:rsidR="0BA49299">
        <w:rPr>
          <w:rFonts w:ascii="Times New Roman" w:hAnsi="Times New Roman" w:eastAsia="Times New Roman" w:cs="Times New Roman"/>
          <w:noProof w:val="0"/>
          <w:sz w:val="24"/>
          <w:szCs w:val="24"/>
          <w:lang w:val="el-GR"/>
        </w:rPr>
        <w:t>et</w:t>
      </w:r>
      <w:r w:rsidRPr="64995E9E" w:rsidR="0BA49299">
        <w:rPr>
          <w:rFonts w:ascii="Times New Roman" w:hAnsi="Times New Roman" w:eastAsia="Times New Roman" w:cs="Times New Roman"/>
          <w:noProof w:val="0"/>
          <w:sz w:val="24"/>
          <w:szCs w:val="24"/>
          <w:lang w:val="el-GR"/>
        </w:rPr>
        <w:t xml:space="preserve"> </w:t>
      </w:r>
      <w:r w:rsidRPr="64995E9E" w:rsidR="0BA49299">
        <w:rPr>
          <w:rFonts w:ascii="Times New Roman" w:hAnsi="Times New Roman" w:eastAsia="Times New Roman" w:cs="Times New Roman"/>
          <w:noProof w:val="0"/>
          <w:sz w:val="24"/>
          <w:szCs w:val="24"/>
          <w:lang w:val="el-GR"/>
        </w:rPr>
        <w:t>al</w:t>
      </w:r>
      <w:r w:rsidRPr="64995E9E" w:rsidR="0BA49299">
        <w:rPr>
          <w:rFonts w:ascii="Times New Roman" w:hAnsi="Times New Roman" w:eastAsia="Times New Roman" w:cs="Times New Roman"/>
          <w:noProof w:val="0"/>
          <w:sz w:val="24"/>
          <w:szCs w:val="24"/>
          <w:lang w:val="el-GR"/>
        </w:rPr>
        <w:t>., 2010)</w:t>
      </w:r>
    </w:p>
    <w:p w:rsidR="65B6BE65" w:rsidP="64995E9E" w:rsidRDefault="65B6BE65" w14:paraId="6A502A8A" w14:textId="22419EE4">
      <w:pPr>
        <w:pStyle w:val="Normal"/>
        <w:spacing w:line="360" w:lineRule="auto"/>
        <w:jc w:val="both"/>
      </w:pPr>
      <w:r w:rsidRPr="64995E9E" w:rsidR="71A6C551">
        <w:rPr>
          <w:rFonts w:ascii="Times New Roman" w:hAnsi="Times New Roman" w:eastAsia="Times New Roman" w:cs="Times New Roman"/>
        </w:rPr>
        <w:t>Θεωρητικά, η ανακουφιστική φροντίδα δύναται να λειτουργήσει προστατευτικά μέσω πολλαπλών μηχανισμών. Η έγκαιρη ενημέρωση για την πορεία της νόσου, η ενεργός συμμετοχή στη λήψη αποφάσεων, η ψυχολογική υποστήριξη, η διαχείριση της αβεβαιότητας και η προετοιμασία για το τέλος της ζωής ενδέχεται να ενισχύσουν την αίσθηση ελέγχου και κατανόησης της κατάστασης από την πλευρά των φροντιστών</w:t>
      </w:r>
      <w:r w:rsidRPr="64995E9E" w:rsidR="54A3F0E1">
        <w:rPr>
          <w:rFonts w:ascii="Times New Roman" w:hAnsi="Times New Roman" w:eastAsia="Times New Roman" w:cs="Times New Roman"/>
        </w:rPr>
        <w:t xml:space="preserve"> </w:t>
      </w:r>
      <w:r w:rsidRPr="64995E9E" w:rsidR="54A3F0E1">
        <w:rPr>
          <w:rFonts w:ascii="Times New Roman" w:hAnsi="Times New Roman" w:eastAsia="Times New Roman" w:cs="Times New Roman"/>
          <w:noProof w:val="0"/>
          <w:sz w:val="24"/>
          <w:szCs w:val="24"/>
          <w:lang w:val="el-GR"/>
        </w:rPr>
        <w:t>(</w:t>
      </w:r>
      <w:r w:rsidRPr="64995E9E" w:rsidR="54A3F0E1">
        <w:rPr>
          <w:rFonts w:ascii="Times New Roman" w:hAnsi="Times New Roman" w:eastAsia="Times New Roman" w:cs="Times New Roman"/>
          <w:noProof w:val="0"/>
          <w:sz w:val="24"/>
          <w:szCs w:val="24"/>
          <w:lang w:val="el-GR"/>
        </w:rPr>
        <w:t>López</w:t>
      </w:r>
      <w:r w:rsidRPr="64995E9E" w:rsidR="54A3F0E1">
        <w:rPr>
          <w:rFonts w:ascii="Times New Roman" w:hAnsi="Times New Roman" w:eastAsia="Times New Roman" w:cs="Times New Roman"/>
          <w:noProof w:val="0"/>
          <w:sz w:val="24"/>
          <w:szCs w:val="24"/>
          <w:lang w:val="el-GR"/>
        </w:rPr>
        <w:t xml:space="preserve"> </w:t>
      </w:r>
      <w:r w:rsidRPr="64995E9E" w:rsidR="54A3F0E1">
        <w:rPr>
          <w:rFonts w:ascii="Times New Roman" w:hAnsi="Times New Roman" w:eastAsia="Times New Roman" w:cs="Times New Roman"/>
          <w:noProof w:val="0"/>
          <w:sz w:val="24"/>
          <w:szCs w:val="24"/>
          <w:lang w:val="el-GR"/>
        </w:rPr>
        <w:t>Pérez</w:t>
      </w:r>
      <w:r w:rsidRPr="64995E9E" w:rsidR="54A3F0E1">
        <w:rPr>
          <w:rFonts w:ascii="Times New Roman" w:hAnsi="Times New Roman" w:eastAsia="Times New Roman" w:cs="Times New Roman"/>
          <w:noProof w:val="0"/>
          <w:sz w:val="24"/>
          <w:szCs w:val="24"/>
          <w:lang w:val="el-GR"/>
        </w:rPr>
        <w:t xml:space="preserve"> </w:t>
      </w:r>
      <w:r w:rsidRPr="64995E9E" w:rsidR="54A3F0E1">
        <w:rPr>
          <w:rFonts w:ascii="Times New Roman" w:hAnsi="Times New Roman" w:eastAsia="Times New Roman" w:cs="Times New Roman"/>
          <w:noProof w:val="0"/>
          <w:sz w:val="24"/>
          <w:szCs w:val="24"/>
          <w:lang w:val="el-GR"/>
        </w:rPr>
        <w:t>et</w:t>
      </w:r>
      <w:r w:rsidRPr="64995E9E" w:rsidR="54A3F0E1">
        <w:rPr>
          <w:rFonts w:ascii="Times New Roman" w:hAnsi="Times New Roman" w:eastAsia="Times New Roman" w:cs="Times New Roman"/>
          <w:noProof w:val="0"/>
          <w:sz w:val="24"/>
          <w:szCs w:val="24"/>
          <w:lang w:val="el-GR"/>
        </w:rPr>
        <w:t xml:space="preserve"> </w:t>
      </w:r>
      <w:r w:rsidRPr="64995E9E" w:rsidR="54A3F0E1">
        <w:rPr>
          <w:rFonts w:ascii="Times New Roman" w:hAnsi="Times New Roman" w:eastAsia="Times New Roman" w:cs="Times New Roman"/>
          <w:noProof w:val="0"/>
          <w:sz w:val="24"/>
          <w:szCs w:val="24"/>
          <w:lang w:val="el-GR"/>
        </w:rPr>
        <w:t>al</w:t>
      </w:r>
      <w:r w:rsidRPr="64995E9E" w:rsidR="54A3F0E1">
        <w:rPr>
          <w:rFonts w:ascii="Times New Roman" w:hAnsi="Times New Roman" w:eastAsia="Times New Roman" w:cs="Times New Roman"/>
          <w:noProof w:val="0"/>
          <w:sz w:val="24"/>
          <w:szCs w:val="24"/>
          <w:lang w:val="el-GR"/>
        </w:rPr>
        <w:t>., 2022).</w:t>
      </w:r>
    </w:p>
    <w:p w:rsidR="65B6BE65" w:rsidP="64995E9E" w:rsidRDefault="65B6BE65" w14:paraId="77635992" w14:textId="38D26142">
      <w:pPr>
        <w:pStyle w:val="Normal"/>
        <w:spacing w:line="360" w:lineRule="auto"/>
        <w:jc w:val="both"/>
        <w:rPr>
          <w:rFonts w:ascii="Times New Roman" w:hAnsi="Times New Roman" w:eastAsia="Times New Roman" w:cs="Times New Roman"/>
          <w:lang w:val="en-US"/>
        </w:rPr>
      </w:pPr>
      <w:r w:rsidRPr="64995E9E" w:rsidR="00130560">
        <w:rPr>
          <w:rFonts w:ascii="Times New Roman" w:hAnsi="Times New Roman" w:eastAsia="Times New Roman" w:cs="Times New Roman"/>
          <w:noProof w:val="0"/>
          <w:sz w:val="24"/>
          <w:szCs w:val="24"/>
          <w:lang w:val="el-GR"/>
        </w:rPr>
        <w:t xml:space="preserve">Η βιβλιογραφία έχει αναδείξει ότι η προετοιμασία για τον επικείμενο θάνατο του ασθενούς αποτελεί σημαντικό προστατευτικό παράγοντα για την ψυχολογική προσαρμογή των φροντιστών μετά την απώλεια. Ειδικότερα, η καλύτερη ενημέρωση για την πορεία της νόσου, η αυξημένη </w:t>
      </w:r>
      <w:r w:rsidRPr="64995E9E" w:rsidR="00130560">
        <w:rPr>
          <w:rFonts w:ascii="Times New Roman" w:hAnsi="Times New Roman" w:eastAsia="Times New Roman" w:cs="Times New Roman"/>
          <w:noProof w:val="0"/>
          <w:sz w:val="24"/>
          <w:szCs w:val="24"/>
          <w:lang w:val="el-GR"/>
        </w:rPr>
        <w:t>προβλεψιμότητα</w:t>
      </w:r>
      <w:r w:rsidRPr="64995E9E" w:rsidR="00130560">
        <w:rPr>
          <w:rFonts w:ascii="Times New Roman" w:hAnsi="Times New Roman" w:eastAsia="Times New Roman" w:cs="Times New Roman"/>
          <w:noProof w:val="0"/>
          <w:sz w:val="24"/>
          <w:szCs w:val="24"/>
          <w:lang w:val="el-GR"/>
        </w:rPr>
        <w:t xml:space="preserve"> των εξελίξεων και η ψυχολογική προετοιμασία για τον θάνατο φαίνεται να σχετίζονται με χαμηλότερα επίπεδα ψυχολογικής δυσφορίας και ευνοϊκότερη προσαρμογή κατά την περίοδο του πένθους. Υπό το πρίσμα αυτό, η ανακουφιστική φροντίδα δύναται να συμβάλει στη μείωση της ψυχολογικής επιβάρυνσης των φροντιστών μέσω της ενίσχυσης της προετοιμασίας τους για την απώλεια και της παροχής κατάλληλης ψυχοκοινωνικής υποστήριξης</w:t>
      </w:r>
      <w:r w:rsidRPr="64995E9E" w:rsidR="77DA1523">
        <w:rPr>
          <w:rFonts w:ascii="Times New Roman" w:hAnsi="Times New Roman" w:eastAsia="Times New Roman" w:cs="Times New Roman"/>
          <w:noProof w:val="0"/>
          <w:sz w:val="24"/>
          <w:szCs w:val="24"/>
          <w:lang w:val="el-GR"/>
        </w:rPr>
        <w:t xml:space="preserve"> (</w:t>
      </w:r>
      <w:r w:rsidRPr="64995E9E" w:rsidR="77DA1523">
        <w:rPr>
          <w:rFonts w:ascii="Times New Roman" w:hAnsi="Times New Roman" w:eastAsia="Times New Roman" w:cs="Times New Roman"/>
          <w:noProof w:val="0"/>
          <w:sz w:val="24"/>
          <w:szCs w:val="24"/>
          <w:lang w:val="el-GR"/>
        </w:rPr>
        <w:t>Kim</w:t>
      </w:r>
      <w:r w:rsidRPr="64995E9E" w:rsidR="77DA1523">
        <w:rPr>
          <w:rFonts w:ascii="Times New Roman" w:hAnsi="Times New Roman" w:eastAsia="Times New Roman" w:cs="Times New Roman"/>
          <w:noProof w:val="0"/>
          <w:sz w:val="24"/>
          <w:szCs w:val="24"/>
          <w:lang w:val="el-GR"/>
        </w:rPr>
        <w:t xml:space="preserve"> </w:t>
      </w:r>
      <w:r w:rsidRPr="64995E9E" w:rsidR="77DA1523">
        <w:rPr>
          <w:rFonts w:ascii="Times New Roman" w:hAnsi="Times New Roman" w:eastAsia="Times New Roman" w:cs="Times New Roman"/>
          <w:noProof w:val="0"/>
          <w:sz w:val="24"/>
          <w:szCs w:val="24"/>
          <w:lang w:val="el-GR"/>
        </w:rPr>
        <w:t>et</w:t>
      </w:r>
      <w:r w:rsidRPr="64995E9E" w:rsidR="77DA1523">
        <w:rPr>
          <w:rFonts w:ascii="Times New Roman" w:hAnsi="Times New Roman" w:eastAsia="Times New Roman" w:cs="Times New Roman"/>
          <w:noProof w:val="0"/>
          <w:sz w:val="24"/>
          <w:szCs w:val="24"/>
          <w:lang w:val="el-GR"/>
        </w:rPr>
        <w:t xml:space="preserve"> </w:t>
      </w:r>
      <w:r w:rsidRPr="64995E9E" w:rsidR="77DA1523">
        <w:rPr>
          <w:rFonts w:ascii="Times New Roman" w:hAnsi="Times New Roman" w:eastAsia="Times New Roman" w:cs="Times New Roman"/>
          <w:noProof w:val="0"/>
          <w:sz w:val="24"/>
          <w:szCs w:val="24"/>
          <w:lang w:val="el-GR"/>
        </w:rPr>
        <w:t>al</w:t>
      </w:r>
      <w:r w:rsidRPr="64995E9E" w:rsidR="77DA1523">
        <w:rPr>
          <w:rFonts w:ascii="Times New Roman" w:hAnsi="Times New Roman" w:eastAsia="Times New Roman" w:cs="Times New Roman"/>
          <w:noProof w:val="0"/>
          <w:sz w:val="24"/>
          <w:szCs w:val="24"/>
          <w:lang w:val="el-GR"/>
        </w:rPr>
        <w:t>., 2017).</w:t>
      </w:r>
    </w:p>
    <w:p w:rsidR="65B6BE65" w:rsidP="64995E9E" w:rsidRDefault="65B6BE65" w14:paraId="23846CFF" w14:textId="251503BB">
      <w:pPr>
        <w:pStyle w:val="Normal"/>
        <w:spacing w:line="360" w:lineRule="auto"/>
        <w:jc w:val="both"/>
        <w:rPr>
          <w:rFonts w:ascii="Times New Roman" w:hAnsi="Times New Roman" w:eastAsia="Times New Roman" w:cs="Times New Roman"/>
          <w:lang w:val="en-US"/>
        </w:rPr>
      </w:pPr>
      <w:r w:rsidRPr="64995E9E" w:rsidR="71A6C551">
        <w:rPr>
          <w:rFonts w:ascii="Times New Roman" w:hAnsi="Times New Roman" w:eastAsia="Times New Roman" w:cs="Times New Roman"/>
        </w:rPr>
        <w:t xml:space="preserve">Με βάση τα παραπάνω, η παρούσα μελέτη εξετάζει την υπόθεση ότι η παροχή και η ποιότητα της ανακουφιστικής φροντίδας κατά τη διάρκεια της νόσου ενδέχεται να σχετίζονται με </w:t>
      </w:r>
      <w:r w:rsidRPr="64995E9E" w:rsidR="71A6C551">
        <w:rPr>
          <w:rFonts w:ascii="Times New Roman" w:hAnsi="Times New Roman" w:eastAsia="Times New Roman" w:cs="Times New Roman"/>
        </w:rPr>
        <w:t xml:space="preserve">ευνοϊκότερη ψυχολογική προσαρμογή των φροντιστών μετά τον θάνατο του ασθενούς, όπως αυτή εκφράζεται μέσω χαμηλότερων επιπέδων </w:t>
      </w:r>
      <w:r w:rsidRPr="64995E9E" w:rsidR="71A6C551">
        <w:rPr>
          <w:rFonts w:ascii="Times New Roman" w:hAnsi="Times New Roman" w:eastAsia="Times New Roman" w:cs="Times New Roman"/>
        </w:rPr>
        <w:t>μετατραυματικού</w:t>
      </w:r>
      <w:r w:rsidRPr="64995E9E" w:rsidR="71A6C551">
        <w:rPr>
          <w:rFonts w:ascii="Times New Roman" w:hAnsi="Times New Roman" w:eastAsia="Times New Roman" w:cs="Times New Roman"/>
        </w:rPr>
        <w:t xml:space="preserve"> στρες, παρατεταμένου πένθους και καταθλιπτικής συμπτωματολογίας.</w:t>
      </w:r>
    </w:p>
    <w:p w:rsidRPr="001B3FAB" w:rsidR="001B3FAB" w:rsidP="64995E9E" w:rsidRDefault="001B3FAB" w14:paraId="07074B39" w14:textId="77777777">
      <w:pPr>
        <w:spacing w:line="360" w:lineRule="auto"/>
        <w:jc w:val="both"/>
        <w:rPr>
          <w:lang w:val="en-US"/>
        </w:rPr>
      </w:pPr>
    </w:p>
    <w:p w:rsidR="522D4269" w:rsidP="64995E9E" w:rsidRDefault="522D4269" w14:paraId="59397CB2" w14:textId="4EA0C557">
      <w:pPr>
        <w:pStyle w:val="Heading2"/>
        <w:numPr>
          <w:ilvl w:val="0"/>
          <w:numId w:val="5"/>
        </w:numPr>
        <w:spacing w:line="360" w:lineRule="auto"/>
        <w:rPr>
          <w:rFonts w:ascii="Times New Roman" w:hAnsi="Times New Roman" w:eastAsia="Times New Roman" w:cs="Times New Roman"/>
          <w:color w:val="auto"/>
          <w:sz w:val="24"/>
          <w:szCs w:val="24"/>
        </w:rPr>
      </w:pPr>
      <w:r w:rsidRPr="64995E9E" w:rsidR="6214FCCD">
        <w:rPr>
          <w:rFonts w:ascii="Times New Roman" w:hAnsi="Times New Roman" w:eastAsia="Times New Roman" w:cs="Times New Roman"/>
          <w:color w:val="auto"/>
          <w:sz w:val="24"/>
          <w:szCs w:val="24"/>
        </w:rPr>
        <w:t>Ερευνητικές Υποθέσεις</w:t>
      </w:r>
    </w:p>
    <w:p w:rsidR="522D4269" w:rsidP="64995E9E" w:rsidRDefault="522D4269" w14:paraId="0FC54595" w14:textId="6BDD19C4">
      <w:pPr>
        <w:spacing w:line="360" w:lineRule="auto"/>
        <w:jc w:val="both"/>
      </w:pPr>
      <w:r w:rsidRPr="64995E9E" w:rsidR="6214FCCD">
        <w:rPr>
          <w:rFonts w:ascii="Times New Roman" w:hAnsi="Times New Roman" w:eastAsia="Times New Roman" w:cs="Times New Roman"/>
        </w:rPr>
        <w:t>H1: Η λήψη ανακουφιστικής φροντίδας σχετίζεται με χαμηλότερα επίπεδα συμπτωμάτων μετατραυματικού στρες στους πενθούντες φροντιστές.</w:t>
      </w:r>
    </w:p>
    <w:p w:rsidR="522D4269" w:rsidP="64995E9E" w:rsidRDefault="522D4269" w14:paraId="5839767D" w14:textId="39388EDB">
      <w:pPr>
        <w:spacing w:line="360" w:lineRule="auto"/>
        <w:jc w:val="both"/>
      </w:pPr>
      <w:r w:rsidRPr="64995E9E" w:rsidR="6214FCCD">
        <w:rPr>
          <w:rFonts w:ascii="Times New Roman" w:hAnsi="Times New Roman" w:eastAsia="Times New Roman" w:cs="Times New Roman"/>
        </w:rPr>
        <w:t>H2: Η λήψη ανακουφιστικής φροντίδας σχετίζεται με χαμηλότερα επίπεδα συμπτωμάτων παρατεταμένου πένθους στους πενθούντες φροντιστές.</w:t>
      </w:r>
    </w:p>
    <w:p w:rsidR="522D4269" w:rsidP="64995E9E" w:rsidRDefault="522D4269" w14:paraId="2D826DFE" w14:textId="6F123D45">
      <w:pPr>
        <w:spacing w:line="360" w:lineRule="auto"/>
        <w:jc w:val="both"/>
      </w:pPr>
      <w:r w:rsidRPr="64995E9E" w:rsidR="6214FCCD">
        <w:rPr>
          <w:rFonts w:ascii="Times New Roman" w:hAnsi="Times New Roman" w:eastAsia="Times New Roman" w:cs="Times New Roman"/>
        </w:rPr>
        <w:t>H3: Η λήψη ανακουφιστικής φροντίδας σχετίζεται με χαμηλότερα επίπεδα καταθλιπτικής συμπτωματολογίας στους πενθούντες φροντιστές.</w:t>
      </w:r>
    </w:p>
    <w:p w:rsidR="522D4269" w:rsidP="64995E9E" w:rsidRDefault="522D4269" w14:paraId="4650503D" w14:textId="252AAEAB">
      <w:pPr>
        <w:spacing w:line="360" w:lineRule="auto"/>
        <w:jc w:val="both"/>
      </w:pPr>
      <w:r w:rsidRPr="64995E9E" w:rsidR="6214FCCD">
        <w:rPr>
          <w:rFonts w:ascii="Times New Roman" w:hAnsi="Times New Roman" w:eastAsia="Times New Roman" w:cs="Times New Roman"/>
        </w:rPr>
        <w:t>H4: Υψηλότερα επίπεδα ικανοποίησης από την παρεχόμενη φροντίδα, όπως αυτά αποτυπώνονται στο FAMCARE, σχετίζονται με χαμηλότερα επίπεδα μετατραυματικού στρες.</w:t>
      </w:r>
    </w:p>
    <w:p w:rsidR="522D4269" w:rsidP="64995E9E" w:rsidRDefault="522D4269" w14:paraId="2CD1F465" w14:textId="52D4AE59">
      <w:pPr>
        <w:spacing w:line="360" w:lineRule="auto"/>
        <w:jc w:val="both"/>
      </w:pPr>
      <w:r w:rsidRPr="64995E9E" w:rsidR="6214FCCD">
        <w:rPr>
          <w:rFonts w:ascii="Times New Roman" w:hAnsi="Times New Roman" w:eastAsia="Times New Roman" w:cs="Times New Roman"/>
        </w:rPr>
        <w:t>H5: Υψηλότερα επίπεδα ικανοποίησης από την παρεχόμενη φροντίδα σχετίζονται με χαμηλότερα επίπεδα παρατεταμένου πένθους.</w:t>
      </w:r>
    </w:p>
    <w:p w:rsidR="522D4269" w:rsidP="64995E9E" w:rsidRDefault="522D4269" w14:paraId="3713567E" w14:textId="0CE412CF">
      <w:pPr>
        <w:spacing w:line="360" w:lineRule="auto"/>
        <w:jc w:val="both"/>
        <w:rPr>
          <w:rFonts w:ascii="Times New Roman" w:hAnsi="Times New Roman" w:eastAsia="Times New Roman" w:cs="Times New Roman"/>
          <w:lang w:val="en-US"/>
        </w:rPr>
      </w:pPr>
      <w:r w:rsidRPr="64995E9E" w:rsidR="6214FCCD">
        <w:rPr>
          <w:rFonts w:ascii="Times New Roman" w:hAnsi="Times New Roman" w:eastAsia="Times New Roman" w:cs="Times New Roman"/>
        </w:rPr>
        <w:t>H6: Υψηλότερα επίπεδα ικανοποίησης από την παρεχόμενη φροντίδα σχετίζονται με χαμηλότερα επίπεδα καταθλιπτικής συμπτωματολογίας.</w:t>
      </w:r>
    </w:p>
    <w:p w:rsidRPr="001B3FAB" w:rsidR="001B3FAB" w:rsidP="64995E9E" w:rsidRDefault="001B3FAB" w14:paraId="73E1D3B6" w14:textId="77777777">
      <w:pPr>
        <w:spacing w:line="360" w:lineRule="auto"/>
        <w:jc w:val="both"/>
        <w:rPr>
          <w:lang w:val="en-US"/>
        </w:rPr>
      </w:pPr>
    </w:p>
    <w:p w:rsidR="20799A6F" w:rsidP="64995E9E" w:rsidRDefault="20799A6F" w14:paraId="3A290FFC" w14:textId="19594E59">
      <w:pPr>
        <w:pStyle w:val="Heading2"/>
        <w:numPr>
          <w:ilvl w:val="0"/>
          <w:numId w:val="5"/>
        </w:numPr>
        <w:spacing w:line="360" w:lineRule="auto"/>
        <w:rPr>
          <w:rFonts w:ascii="Times New Roman" w:hAnsi="Times New Roman" w:eastAsia="Times New Roman" w:cs="Times New Roman"/>
          <w:color w:val="auto"/>
          <w:sz w:val="24"/>
          <w:szCs w:val="24"/>
          <w:lang w:val="en-US"/>
        </w:rPr>
      </w:pPr>
      <w:r w:rsidRPr="64995E9E" w:rsidR="6B1DF8B5">
        <w:rPr>
          <w:rFonts w:ascii="Times New Roman" w:hAnsi="Times New Roman" w:eastAsia="Times New Roman" w:cs="Times New Roman"/>
          <w:color w:val="auto"/>
          <w:sz w:val="24"/>
          <w:szCs w:val="24"/>
        </w:rPr>
        <w:t>Μεθοδολογία</w:t>
      </w:r>
    </w:p>
    <w:p w:rsidRPr="001B3FAB" w:rsidR="001B3FAB" w:rsidP="64995E9E" w:rsidRDefault="001B3FAB" w14:paraId="336B8D83" w14:textId="77777777">
      <w:pPr>
        <w:spacing w:line="360" w:lineRule="auto"/>
        <w:rPr>
          <w:lang w:val="en-US"/>
        </w:rPr>
      </w:pPr>
    </w:p>
    <w:p w:rsidR="20799A6F" w:rsidP="64995E9E" w:rsidRDefault="20799A6F" w14:paraId="041E6770" w14:textId="47566741">
      <w:pPr>
        <w:pStyle w:val="Heading3"/>
        <w:spacing w:line="360" w:lineRule="auto"/>
        <w:ind w:left="0"/>
        <w:rPr>
          <w:rFonts w:ascii="Times New Roman" w:hAnsi="Times New Roman" w:eastAsia="Times New Roman" w:cs="Times New Roman"/>
          <w:color w:val="auto"/>
          <w:sz w:val="24"/>
          <w:szCs w:val="24"/>
        </w:rPr>
      </w:pPr>
      <w:r w:rsidRPr="64995E9E" w:rsidR="65257A1D">
        <w:rPr>
          <w:rFonts w:ascii="Times New Roman" w:hAnsi="Times New Roman" w:eastAsia="Times New Roman" w:cs="Times New Roman"/>
          <w:color w:val="auto"/>
          <w:sz w:val="24"/>
          <w:szCs w:val="24"/>
        </w:rPr>
        <w:t xml:space="preserve">4.1 </w:t>
      </w:r>
      <w:r w:rsidRPr="64995E9E" w:rsidR="6B1DF8B5">
        <w:rPr>
          <w:rFonts w:ascii="Times New Roman" w:hAnsi="Times New Roman" w:eastAsia="Times New Roman" w:cs="Times New Roman"/>
          <w:color w:val="auto"/>
          <w:sz w:val="24"/>
          <w:szCs w:val="24"/>
        </w:rPr>
        <w:t>Σχεδιασμός Έρευνας</w:t>
      </w:r>
    </w:p>
    <w:p w:rsidRPr="00796945" w:rsidR="20799A6F" w:rsidP="64995E9E" w:rsidRDefault="20799A6F" w14:paraId="0A3FAB26" w14:textId="76CAA3F2">
      <w:pPr>
        <w:spacing w:line="360" w:lineRule="auto"/>
        <w:jc w:val="both"/>
        <w:rPr>
          <w:rFonts w:ascii="Times New Roman" w:hAnsi="Times New Roman" w:eastAsia="Times New Roman" w:cs="Times New Roman"/>
        </w:rPr>
      </w:pPr>
      <w:r w:rsidRPr="64995E9E" w:rsidR="6B1DF8B5">
        <w:rPr>
          <w:rFonts w:ascii="Times New Roman" w:hAnsi="Times New Roman" w:eastAsia="Times New Roman" w:cs="Times New Roman"/>
        </w:rPr>
        <w:t>Η παρούσα μελέτη θα</w:t>
      </w:r>
      <w:r w:rsidRPr="64995E9E" w:rsidR="5A767167">
        <w:rPr>
          <w:rFonts w:ascii="Times New Roman" w:hAnsi="Times New Roman" w:eastAsia="Times New Roman" w:cs="Times New Roman"/>
        </w:rPr>
        <w:t xml:space="preserve"> </w:t>
      </w:r>
      <w:r w:rsidRPr="64995E9E" w:rsidR="5A767167">
        <w:rPr>
          <w:rFonts w:ascii="Times New Roman" w:hAnsi="Times New Roman" w:eastAsia="Times New Roman" w:cs="Times New Roman"/>
        </w:rPr>
        <w:t>βασιστεί καταγραφή ερωτηματολογίων, θα είναι δηλαδή μελέτη παρατήρησης.</w:t>
      </w:r>
    </w:p>
    <w:p w:rsidRPr="00796945" w:rsidR="001B3FAB" w:rsidP="64995E9E" w:rsidRDefault="001B3FAB" w14:paraId="12D88FB3" w14:textId="77777777">
      <w:pPr>
        <w:spacing w:line="360" w:lineRule="auto"/>
      </w:pPr>
    </w:p>
    <w:p w:rsidR="20799A6F" w:rsidP="64995E9E" w:rsidRDefault="20799A6F" w14:paraId="7EB04859" w14:textId="793E5804">
      <w:pPr>
        <w:pStyle w:val="Heading3"/>
        <w:spacing w:line="360" w:lineRule="auto"/>
        <w:ind w:left="0"/>
        <w:rPr>
          <w:rFonts w:ascii="Times New Roman" w:hAnsi="Times New Roman" w:eastAsia="Times New Roman" w:cs="Times New Roman"/>
          <w:color w:val="auto"/>
          <w:sz w:val="24"/>
          <w:szCs w:val="24"/>
        </w:rPr>
      </w:pPr>
      <w:r w:rsidRPr="64995E9E" w:rsidR="1DC9EE95">
        <w:rPr>
          <w:rFonts w:ascii="Times New Roman" w:hAnsi="Times New Roman" w:eastAsia="Times New Roman" w:cs="Times New Roman"/>
          <w:color w:val="auto"/>
          <w:sz w:val="24"/>
          <w:szCs w:val="24"/>
        </w:rPr>
        <w:t xml:space="preserve">4.2 </w:t>
      </w:r>
      <w:r w:rsidRPr="64995E9E" w:rsidR="6B1DF8B5">
        <w:rPr>
          <w:rFonts w:ascii="Times New Roman" w:hAnsi="Times New Roman" w:eastAsia="Times New Roman" w:cs="Times New Roman"/>
          <w:color w:val="auto"/>
          <w:sz w:val="24"/>
          <w:szCs w:val="24"/>
        </w:rPr>
        <w:t>Δείγμα</w:t>
      </w:r>
    </w:p>
    <w:p w:rsidRPr="00D844E3" w:rsidR="20799A6F" w:rsidP="64995E9E" w:rsidRDefault="20799A6F" w14:paraId="3C89A007" w14:textId="6C772297">
      <w:pPr>
        <w:spacing w:line="360" w:lineRule="auto"/>
        <w:jc w:val="both"/>
        <w:rPr>
          <w:rFonts w:ascii="Times New Roman" w:hAnsi="Times New Roman" w:eastAsia="Times New Roman" w:cs="Times New Roman"/>
          <w:color w:val="auto"/>
        </w:rPr>
      </w:pPr>
      <w:r w:rsidRPr="64995E9E" w:rsidR="6B1DF8B5">
        <w:rPr>
          <w:rFonts w:ascii="Times New Roman" w:hAnsi="Times New Roman" w:eastAsia="Times New Roman" w:cs="Times New Roman"/>
        </w:rPr>
        <w:t>Το δείγμα θα αποτελείται από ενήλικες φροντιστές (ηλικίας 18 ετών και άνω) ασθενών με καρκίνο, οι οποίοι έχουν βιώσει την απώλεια του ασθενούς που φρόντιζαν</w:t>
      </w:r>
      <w:r w:rsidRPr="64995E9E" w:rsidR="6B1DF8B5">
        <w:rPr>
          <w:rFonts w:ascii="Times New Roman" w:hAnsi="Times New Roman" w:eastAsia="Times New Roman" w:cs="Times New Roman"/>
          <w:color w:val="EE0000"/>
        </w:rPr>
        <w:t>.</w:t>
      </w:r>
      <w:r w:rsidRPr="64995E9E" w:rsidR="38207656">
        <w:rPr>
          <w:rFonts w:ascii="Times New Roman" w:hAnsi="Times New Roman" w:eastAsia="Times New Roman" w:cs="Times New Roman"/>
          <w:color w:val="EE0000"/>
        </w:rPr>
        <w:t xml:space="preserve"> </w:t>
      </w:r>
      <w:r w:rsidRPr="64995E9E" w:rsidR="38207656">
        <w:rPr>
          <w:rFonts w:ascii="Times New Roman" w:hAnsi="Times New Roman" w:eastAsia="Times New Roman" w:cs="Times New Roman"/>
          <w:color w:val="auto"/>
        </w:rPr>
        <w:t>Ιδανικά το ελάχιστο μέγεθος του δείγματος είναι 90 (30 άτομα από κάθε ομάδα</w:t>
      </w:r>
      <w:r w:rsidRPr="64995E9E" w:rsidR="7155C29B">
        <w:rPr>
          <w:rFonts w:ascii="Times New Roman" w:hAnsi="Times New Roman" w:eastAsia="Times New Roman" w:cs="Times New Roman"/>
          <w:color w:val="auto"/>
        </w:rPr>
        <w:t xml:space="preserve">: α) </w:t>
      </w:r>
      <w:r w:rsidRPr="64995E9E" w:rsidR="0F264A29">
        <w:rPr>
          <w:rFonts w:ascii="Times New Roman" w:hAnsi="Times New Roman" w:eastAsia="Times New Roman" w:cs="Times New Roman"/>
          <w:color w:val="auto"/>
        </w:rPr>
        <w:t>εξειδικευμένη</w:t>
      </w:r>
      <w:r w:rsidRPr="64995E9E" w:rsidR="38207656">
        <w:rPr>
          <w:rFonts w:ascii="Times New Roman" w:hAnsi="Times New Roman" w:eastAsia="Times New Roman" w:cs="Times New Roman"/>
          <w:color w:val="auto"/>
        </w:rPr>
        <w:t xml:space="preserve"> Μ</w:t>
      </w:r>
      <w:r w:rsidRPr="64995E9E" w:rsidR="7E672238">
        <w:rPr>
          <w:rFonts w:ascii="Times New Roman" w:hAnsi="Times New Roman" w:eastAsia="Times New Roman" w:cs="Times New Roman"/>
          <w:color w:val="auto"/>
        </w:rPr>
        <w:t>.Α.Φ.</w:t>
      </w:r>
      <w:r w:rsidRPr="64995E9E" w:rsidR="38207656">
        <w:rPr>
          <w:rFonts w:ascii="Times New Roman" w:hAnsi="Times New Roman" w:eastAsia="Times New Roman" w:cs="Times New Roman"/>
          <w:color w:val="auto"/>
        </w:rPr>
        <w:t xml:space="preserve">Α, </w:t>
      </w:r>
      <w:r w:rsidRPr="64995E9E" w:rsidR="6487F674">
        <w:rPr>
          <w:rFonts w:ascii="Times New Roman" w:hAnsi="Times New Roman" w:eastAsia="Times New Roman" w:cs="Times New Roman"/>
          <w:color w:val="auto"/>
        </w:rPr>
        <w:t xml:space="preserve"> γενικευμένη </w:t>
      </w:r>
      <w:r w:rsidRPr="64995E9E" w:rsidR="38207656">
        <w:rPr>
          <w:rFonts w:ascii="Times New Roman" w:hAnsi="Times New Roman" w:eastAsia="Times New Roman" w:cs="Times New Roman"/>
          <w:color w:val="auto"/>
        </w:rPr>
        <w:t>Μ</w:t>
      </w:r>
      <w:r w:rsidRPr="64995E9E" w:rsidR="711377AB">
        <w:rPr>
          <w:rFonts w:ascii="Times New Roman" w:hAnsi="Times New Roman" w:eastAsia="Times New Roman" w:cs="Times New Roman"/>
          <w:color w:val="auto"/>
        </w:rPr>
        <w:t>.</w:t>
      </w:r>
      <w:r w:rsidRPr="64995E9E" w:rsidR="38207656">
        <w:rPr>
          <w:rFonts w:ascii="Times New Roman" w:hAnsi="Times New Roman" w:eastAsia="Times New Roman" w:cs="Times New Roman"/>
          <w:color w:val="auto"/>
        </w:rPr>
        <w:t>Α</w:t>
      </w:r>
      <w:r w:rsidRPr="64995E9E" w:rsidR="1C74D08F">
        <w:rPr>
          <w:rFonts w:ascii="Times New Roman" w:hAnsi="Times New Roman" w:eastAsia="Times New Roman" w:cs="Times New Roman"/>
          <w:color w:val="auto"/>
        </w:rPr>
        <w:t>.Φ.Α</w:t>
      </w:r>
      <w:r w:rsidRPr="64995E9E" w:rsidR="38207656">
        <w:rPr>
          <w:rFonts w:ascii="Times New Roman" w:hAnsi="Times New Roman" w:eastAsia="Times New Roman" w:cs="Times New Roman"/>
          <w:color w:val="auto"/>
        </w:rPr>
        <w:t>, Μ</w:t>
      </w:r>
      <w:r w:rsidRPr="64995E9E" w:rsidR="0F85C1BD">
        <w:rPr>
          <w:rFonts w:ascii="Times New Roman" w:hAnsi="Times New Roman" w:eastAsia="Times New Roman" w:cs="Times New Roman"/>
          <w:color w:val="auto"/>
        </w:rPr>
        <w:t>.</w:t>
      </w:r>
      <w:r w:rsidRPr="64995E9E" w:rsidR="38207656">
        <w:rPr>
          <w:rFonts w:ascii="Times New Roman" w:hAnsi="Times New Roman" w:eastAsia="Times New Roman" w:cs="Times New Roman"/>
          <w:color w:val="auto"/>
        </w:rPr>
        <w:t>Α</w:t>
      </w:r>
      <w:r w:rsidRPr="64995E9E" w:rsidR="28335DFA">
        <w:rPr>
          <w:rFonts w:ascii="Times New Roman" w:hAnsi="Times New Roman" w:eastAsia="Times New Roman" w:cs="Times New Roman"/>
          <w:color w:val="auto"/>
        </w:rPr>
        <w:t>.</w:t>
      </w:r>
      <w:r w:rsidRPr="64995E9E" w:rsidR="68493E75">
        <w:rPr>
          <w:rFonts w:ascii="Times New Roman" w:hAnsi="Times New Roman" w:eastAsia="Times New Roman" w:cs="Times New Roman"/>
          <w:color w:val="auto"/>
        </w:rPr>
        <w:t>Φ.</w:t>
      </w:r>
      <w:r w:rsidRPr="64995E9E" w:rsidR="38207656">
        <w:rPr>
          <w:rFonts w:ascii="Times New Roman" w:hAnsi="Times New Roman" w:eastAsia="Times New Roman" w:cs="Times New Roman"/>
          <w:color w:val="auto"/>
        </w:rPr>
        <w:t>Α όχι)</w:t>
      </w:r>
      <w:r w:rsidRPr="64995E9E" w:rsidR="2955B32C">
        <w:rPr>
          <w:rFonts w:ascii="Times New Roman" w:hAnsi="Times New Roman" w:eastAsia="Times New Roman" w:cs="Times New Roman"/>
          <w:color w:val="auto"/>
        </w:rPr>
        <w:t>. Στην περίπτωση που το μέγεθος είναι μικρότερο του 90 η στατιστική ανάλυση θα προσαρμοστεί καταλλήλως.</w:t>
      </w:r>
    </w:p>
    <w:p w:rsidRPr="00D844E3" w:rsidR="001B3FAB" w:rsidP="64995E9E" w:rsidRDefault="001B3FAB" w14:paraId="4140D6EF" w14:textId="77777777">
      <w:pPr>
        <w:spacing w:line="360" w:lineRule="auto"/>
      </w:pPr>
    </w:p>
    <w:p w:rsidR="20799A6F" w:rsidP="64995E9E" w:rsidRDefault="20799A6F" w14:paraId="2DB3164C" w14:textId="65A1BF12">
      <w:pPr>
        <w:pStyle w:val="Heading3"/>
        <w:spacing w:line="360" w:lineRule="auto"/>
        <w:ind w:left="0"/>
        <w:rPr>
          <w:rFonts w:ascii="Times New Roman" w:hAnsi="Times New Roman" w:eastAsia="Times New Roman" w:cs="Times New Roman"/>
          <w:color w:val="auto"/>
          <w:sz w:val="24"/>
          <w:szCs w:val="24"/>
        </w:rPr>
      </w:pPr>
      <w:r w:rsidRPr="64995E9E" w:rsidR="7CFDFB9F">
        <w:rPr>
          <w:rFonts w:ascii="Times New Roman" w:hAnsi="Times New Roman" w:eastAsia="Times New Roman" w:cs="Times New Roman"/>
          <w:color w:val="auto"/>
          <w:sz w:val="24"/>
          <w:szCs w:val="24"/>
        </w:rPr>
        <w:t xml:space="preserve">4.3 </w:t>
      </w:r>
      <w:r w:rsidRPr="64995E9E" w:rsidR="6B1DF8B5">
        <w:rPr>
          <w:rFonts w:ascii="Times New Roman" w:hAnsi="Times New Roman" w:eastAsia="Times New Roman" w:cs="Times New Roman"/>
          <w:color w:val="auto"/>
          <w:sz w:val="24"/>
          <w:szCs w:val="24"/>
        </w:rPr>
        <w:t>Κριτήρια Ένταξης</w:t>
      </w:r>
    </w:p>
    <w:p w:rsidR="20799A6F" w:rsidP="64995E9E" w:rsidRDefault="20799A6F" w14:paraId="05BAF342" w14:textId="6C8A877C">
      <w:pPr>
        <w:pStyle w:val="ListParagraph"/>
        <w:numPr>
          <w:ilvl w:val="0"/>
          <w:numId w:val="3"/>
        </w:numPr>
        <w:spacing w:after="0" w:line="360" w:lineRule="auto"/>
        <w:jc w:val="both"/>
        <w:rPr>
          <w:rFonts w:ascii="Times New Roman" w:hAnsi="Times New Roman" w:eastAsia="Times New Roman" w:cs="Times New Roman"/>
        </w:rPr>
      </w:pPr>
      <w:r w:rsidRPr="64995E9E" w:rsidR="6B1DF8B5">
        <w:rPr>
          <w:rFonts w:ascii="Times New Roman" w:hAnsi="Times New Roman" w:eastAsia="Times New Roman" w:cs="Times New Roman"/>
        </w:rPr>
        <w:t>Ηλικία 18 ετών και άνω.</w:t>
      </w:r>
    </w:p>
    <w:p w:rsidR="20799A6F" w:rsidP="64995E9E" w:rsidRDefault="20799A6F" w14:paraId="2623CA61" w14:textId="6C526FF2">
      <w:pPr>
        <w:pStyle w:val="ListParagraph"/>
        <w:numPr>
          <w:ilvl w:val="0"/>
          <w:numId w:val="3"/>
        </w:numPr>
        <w:spacing w:after="0" w:line="360" w:lineRule="auto"/>
        <w:jc w:val="both"/>
        <w:rPr>
          <w:rFonts w:ascii="Times New Roman" w:hAnsi="Times New Roman" w:eastAsia="Times New Roman" w:cs="Times New Roman"/>
        </w:rPr>
      </w:pPr>
      <w:r w:rsidRPr="64995E9E" w:rsidR="6B1DF8B5">
        <w:rPr>
          <w:rFonts w:ascii="Times New Roman" w:hAnsi="Times New Roman" w:eastAsia="Times New Roman" w:cs="Times New Roman"/>
        </w:rPr>
        <w:t>Ιστορικό φροντίδας ατόμου με διάγνωση καρκίνου.</w:t>
      </w:r>
    </w:p>
    <w:p w:rsidR="20799A6F" w:rsidP="64995E9E" w:rsidRDefault="20799A6F" w14:paraId="6EEE4584" w14:textId="5DCB38E2">
      <w:pPr>
        <w:pStyle w:val="ListParagraph"/>
        <w:numPr>
          <w:ilvl w:val="0"/>
          <w:numId w:val="3"/>
        </w:numPr>
        <w:spacing w:after="0" w:line="360" w:lineRule="auto"/>
        <w:jc w:val="both"/>
        <w:rPr>
          <w:rFonts w:ascii="Times New Roman" w:hAnsi="Times New Roman" w:eastAsia="Times New Roman" w:cs="Times New Roman"/>
        </w:rPr>
      </w:pPr>
      <w:r w:rsidRPr="64995E9E" w:rsidR="6B1DF8B5">
        <w:rPr>
          <w:rFonts w:ascii="Times New Roman" w:hAnsi="Times New Roman" w:eastAsia="Times New Roman" w:cs="Times New Roman"/>
        </w:rPr>
        <w:t>Θάνατος του ασθενούς πριν από τη συμμετοχή στην έρευνα.</w:t>
      </w:r>
    </w:p>
    <w:p w:rsidR="20799A6F" w:rsidP="64995E9E" w:rsidRDefault="20799A6F" w14:paraId="05758CE8" w14:textId="2E23B8D9">
      <w:pPr>
        <w:pStyle w:val="ListParagraph"/>
        <w:numPr>
          <w:ilvl w:val="0"/>
          <w:numId w:val="3"/>
        </w:numPr>
        <w:spacing w:after="0" w:line="360" w:lineRule="auto"/>
        <w:jc w:val="both"/>
        <w:rPr>
          <w:rFonts w:ascii="Times New Roman" w:hAnsi="Times New Roman" w:eastAsia="Times New Roman" w:cs="Times New Roman"/>
        </w:rPr>
      </w:pPr>
      <w:r w:rsidRPr="64995E9E" w:rsidR="6B1DF8B5">
        <w:rPr>
          <w:rFonts w:ascii="Times New Roman" w:hAnsi="Times New Roman" w:eastAsia="Times New Roman" w:cs="Times New Roman"/>
        </w:rPr>
        <w:t>Ηλεκτρονική συγκατάθεση συμμετοχής.</w:t>
      </w:r>
    </w:p>
    <w:p w:rsidR="6BF567B3" w:rsidP="64995E9E" w:rsidRDefault="6BF567B3" w14:paraId="7D5D2704" w14:textId="4954ABEB">
      <w:pPr>
        <w:pStyle w:val="ListParagraph"/>
        <w:numPr>
          <w:ilvl w:val="0"/>
          <w:numId w:val="3"/>
        </w:numPr>
        <w:spacing w:after="0" w:line="360" w:lineRule="auto"/>
        <w:jc w:val="both"/>
        <w:rPr>
          <w:rFonts w:ascii="Times New Roman" w:hAnsi="Times New Roman" w:eastAsia="Times New Roman" w:cs="Times New Roman"/>
        </w:rPr>
      </w:pPr>
      <w:r w:rsidRPr="64995E9E" w:rsidR="646FB9E0">
        <w:rPr>
          <w:rFonts w:ascii="Times New Roman" w:hAnsi="Times New Roman" w:eastAsia="Times New Roman" w:cs="Times New Roman"/>
        </w:rPr>
        <w:t>Απ</w:t>
      </w:r>
      <w:r w:rsidRPr="64995E9E" w:rsidR="73584DEA">
        <w:rPr>
          <w:rFonts w:ascii="Times New Roman" w:hAnsi="Times New Roman" w:eastAsia="Times New Roman" w:cs="Times New Roman"/>
        </w:rPr>
        <w:t>ό</w:t>
      </w:r>
      <w:r w:rsidRPr="64995E9E" w:rsidR="646FB9E0">
        <w:rPr>
          <w:rFonts w:ascii="Times New Roman" w:hAnsi="Times New Roman" w:eastAsia="Times New Roman" w:cs="Times New Roman"/>
        </w:rPr>
        <w:t xml:space="preserve"> τη διάγνωση έως και το θάνατο του ασθενούς να μεσολάβησε διάστημα άνω των τριών μηνών</w:t>
      </w:r>
      <w:r w:rsidRPr="64995E9E" w:rsidR="7D79AF05">
        <w:rPr>
          <w:rFonts w:ascii="Times New Roman" w:hAnsi="Times New Roman" w:eastAsia="Times New Roman" w:cs="Times New Roman"/>
        </w:rPr>
        <w:t>.</w:t>
      </w:r>
    </w:p>
    <w:p w:rsidR="6BF567B3" w:rsidP="64995E9E" w:rsidRDefault="6BF567B3" w14:paraId="3B61242D" w14:textId="0A236778">
      <w:pPr>
        <w:pStyle w:val="ListParagraph"/>
        <w:numPr>
          <w:ilvl w:val="0"/>
          <w:numId w:val="3"/>
        </w:numPr>
        <w:spacing w:after="0" w:line="360" w:lineRule="auto"/>
        <w:rPr>
          <w:rFonts w:ascii="Times New Roman" w:hAnsi="Times New Roman" w:eastAsia="Times New Roman" w:cs="Times New Roman"/>
        </w:rPr>
      </w:pPr>
      <w:r w:rsidRPr="64995E9E" w:rsidR="646FB9E0">
        <w:rPr>
          <w:rFonts w:ascii="Times New Roman" w:hAnsi="Times New Roman" w:eastAsia="Times New Roman" w:cs="Times New Roman"/>
        </w:rPr>
        <w:t>Από το θάνατο του ασθενούς να έχουν περάσει  12 μήνες και άνω</w:t>
      </w:r>
      <w:r w:rsidRPr="64995E9E" w:rsidR="7D79AF05">
        <w:rPr>
          <w:rFonts w:ascii="Times New Roman" w:hAnsi="Times New Roman" w:eastAsia="Times New Roman" w:cs="Times New Roman"/>
        </w:rPr>
        <w:t>.</w:t>
      </w:r>
      <w:r w:rsidRPr="64995E9E" w:rsidR="646FB9E0">
        <w:rPr>
          <w:rFonts w:ascii="Times New Roman" w:hAnsi="Times New Roman" w:eastAsia="Times New Roman" w:cs="Times New Roman"/>
        </w:rPr>
        <w:t xml:space="preserve"> </w:t>
      </w:r>
    </w:p>
    <w:p w:rsidRPr="001B3FAB" w:rsidR="6BF567B3" w:rsidP="64995E9E" w:rsidRDefault="6BF567B3" w14:paraId="3D19FB7F" w14:textId="127A24BE">
      <w:pPr>
        <w:pStyle w:val="ListParagraph"/>
        <w:numPr>
          <w:ilvl w:val="0"/>
          <w:numId w:val="3"/>
        </w:numPr>
        <w:spacing w:after="0" w:line="360" w:lineRule="auto"/>
        <w:rPr>
          <w:rFonts w:ascii="Times New Roman" w:hAnsi="Times New Roman" w:eastAsia="Times New Roman" w:cs="Times New Roman"/>
        </w:rPr>
      </w:pPr>
      <w:r w:rsidRPr="64995E9E" w:rsidR="646FB9E0">
        <w:rPr>
          <w:rFonts w:ascii="Times New Roman" w:hAnsi="Times New Roman" w:eastAsia="Times New Roman" w:cs="Times New Roman"/>
        </w:rPr>
        <w:t xml:space="preserve">Οι κύριοι φροντιστές να μην ήταν πάνω </w:t>
      </w:r>
      <w:r w:rsidRPr="64995E9E" w:rsidR="04BEEB49">
        <w:rPr>
          <w:rFonts w:ascii="Times New Roman" w:hAnsi="Times New Roman" w:eastAsia="Times New Roman" w:cs="Times New Roman"/>
        </w:rPr>
        <w:t>από</w:t>
      </w:r>
      <w:r w:rsidRPr="64995E9E" w:rsidR="646FB9E0">
        <w:rPr>
          <w:rFonts w:ascii="Times New Roman" w:hAnsi="Times New Roman" w:eastAsia="Times New Roman" w:cs="Times New Roman"/>
        </w:rPr>
        <w:t xml:space="preserve"> δύο άτομα</w:t>
      </w:r>
      <w:r w:rsidRPr="64995E9E" w:rsidR="7D79AF05">
        <w:rPr>
          <w:rFonts w:ascii="Times New Roman" w:hAnsi="Times New Roman" w:eastAsia="Times New Roman" w:cs="Times New Roman"/>
        </w:rPr>
        <w:t>.</w:t>
      </w:r>
    </w:p>
    <w:p w:rsidR="001B3FAB" w:rsidP="64995E9E" w:rsidRDefault="001B3FAB" w14:paraId="7B37D96F" w14:textId="77777777">
      <w:pPr>
        <w:pStyle w:val="ListParagraph"/>
        <w:spacing w:after="0" w:line="360" w:lineRule="auto"/>
        <w:rPr>
          <w:rFonts w:ascii="Times New Roman" w:hAnsi="Times New Roman" w:eastAsia="Times New Roman" w:cs="Times New Roman"/>
        </w:rPr>
      </w:pPr>
    </w:p>
    <w:p w:rsidR="20799A6F" w:rsidP="64995E9E" w:rsidRDefault="20799A6F" w14:paraId="2241CBB5" w14:textId="68A35245">
      <w:pPr>
        <w:pStyle w:val="Heading3"/>
        <w:spacing w:line="360" w:lineRule="auto"/>
        <w:rPr>
          <w:rFonts w:ascii="Times New Roman" w:hAnsi="Times New Roman" w:eastAsia="Times New Roman" w:cs="Times New Roman"/>
          <w:color w:val="auto"/>
          <w:sz w:val="24"/>
          <w:szCs w:val="24"/>
        </w:rPr>
      </w:pPr>
      <w:r w:rsidRPr="64995E9E" w:rsidR="59CFF630">
        <w:rPr>
          <w:rFonts w:ascii="Times New Roman" w:hAnsi="Times New Roman" w:eastAsia="Times New Roman" w:cs="Times New Roman"/>
          <w:color w:val="auto"/>
          <w:sz w:val="24"/>
          <w:szCs w:val="24"/>
        </w:rPr>
        <w:t xml:space="preserve">4.4 </w:t>
      </w:r>
      <w:r w:rsidRPr="64995E9E" w:rsidR="6B1DF8B5">
        <w:rPr>
          <w:rFonts w:ascii="Times New Roman" w:hAnsi="Times New Roman" w:eastAsia="Times New Roman" w:cs="Times New Roman"/>
          <w:color w:val="auto"/>
          <w:sz w:val="24"/>
          <w:szCs w:val="24"/>
        </w:rPr>
        <w:t>Κριτήρια Αποκλεισμού</w:t>
      </w:r>
    </w:p>
    <w:p w:rsidR="20799A6F" w:rsidP="64995E9E" w:rsidRDefault="20799A6F" w14:paraId="2FD3777E" w14:textId="7D78B1FE">
      <w:pPr>
        <w:pStyle w:val="ListParagraph"/>
        <w:numPr>
          <w:ilvl w:val="0"/>
          <w:numId w:val="2"/>
        </w:numPr>
        <w:spacing w:after="0" w:line="360" w:lineRule="auto"/>
        <w:rPr>
          <w:rFonts w:ascii="Times New Roman" w:hAnsi="Times New Roman" w:eastAsia="Times New Roman" w:cs="Times New Roman"/>
        </w:rPr>
      </w:pPr>
      <w:r w:rsidRPr="64995E9E" w:rsidR="6B1DF8B5">
        <w:rPr>
          <w:rFonts w:ascii="Times New Roman" w:hAnsi="Times New Roman" w:eastAsia="Times New Roman" w:cs="Times New Roman"/>
        </w:rPr>
        <w:t>Ηλικία μικρότερη των 18 ετών.</w:t>
      </w:r>
    </w:p>
    <w:p w:rsidRPr="001B3FAB" w:rsidR="20799A6F" w:rsidP="64995E9E" w:rsidRDefault="20799A6F" w14:paraId="7810DC78" w14:textId="0798E899">
      <w:pPr>
        <w:pStyle w:val="ListParagraph"/>
        <w:numPr>
          <w:ilvl w:val="0"/>
          <w:numId w:val="2"/>
        </w:numPr>
        <w:spacing w:after="0" w:line="360" w:lineRule="auto"/>
        <w:rPr>
          <w:rFonts w:ascii="Times New Roman" w:hAnsi="Times New Roman" w:eastAsia="Times New Roman" w:cs="Times New Roman"/>
        </w:rPr>
      </w:pPr>
      <w:r w:rsidRPr="64995E9E" w:rsidR="6B1DF8B5">
        <w:rPr>
          <w:rFonts w:ascii="Times New Roman" w:hAnsi="Times New Roman" w:eastAsia="Times New Roman" w:cs="Times New Roman"/>
        </w:rPr>
        <w:t>Μη ολοκλήρωση του ερωτηματολογίου.</w:t>
      </w:r>
    </w:p>
    <w:p w:rsidR="001B3FAB" w:rsidP="64995E9E" w:rsidRDefault="001B3FAB" w14:paraId="74E377C3" w14:textId="77777777">
      <w:pPr>
        <w:pStyle w:val="ListParagraph"/>
        <w:spacing w:after="0" w:line="360" w:lineRule="auto"/>
        <w:rPr>
          <w:rFonts w:ascii="Times New Roman" w:hAnsi="Times New Roman" w:eastAsia="Times New Roman" w:cs="Times New Roman"/>
        </w:rPr>
      </w:pPr>
    </w:p>
    <w:p w:rsidR="20799A6F" w:rsidP="64995E9E" w:rsidRDefault="20799A6F" w14:paraId="4C598757" w14:textId="46055C01">
      <w:pPr>
        <w:pStyle w:val="Heading2"/>
        <w:spacing w:line="360" w:lineRule="auto"/>
        <w:rPr>
          <w:rFonts w:ascii="Times New Roman" w:hAnsi="Times New Roman" w:eastAsia="Times New Roman" w:cs="Times New Roman"/>
          <w:color w:val="auto"/>
          <w:sz w:val="24"/>
          <w:szCs w:val="24"/>
        </w:rPr>
      </w:pPr>
      <w:r w:rsidRPr="64995E9E" w:rsidR="39C21F95">
        <w:rPr>
          <w:rFonts w:ascii="Times New Roman" w:hAnsi="Times New Roman" w:eastAsia="Times New Roman" w:cs="Times New Roman"/>
          <w:color w:val="auto"/>
          <w:sz w:val="24"/>
          <w:szCs w:val="24"/>
        </w:rPr>
        <w:t xml:space="preserve">4.5 </w:t>
      </w:r>
      <w:r w:rsidRPr="64995E9E" w:rsidR="6B1DF8B5">
        <w:rPr>
          <w:rFonts w:ascii="Times New Roman" w:hAnsi="Times New Roman" w:eastAsia="Times New Roman" w:cs="Times New Roman"/>
          <w:color w:val="auto"/>
          <w:sz w:val="24"/>
          <w:szCs w:val="24"/>
        </w:rPr>
        <w:t>Εργαλεία Μέτρησης</w:t>
      </w:r>
    </w:p>
    <w:p w:rsidR="20799A6F" w:rsidP="64995E9E" w:rsidRDefault="20799A6F" w14:paraId="720B26D4" w14:textId="03F85954">
      <w:pPr>
        <w:pStyle w:val="ListParagraph"/>
        <w:numPr>
          <w:ilvl w:val="0"/>
          <w:numId w:val="1"/>
        </w:numPr>
        <w:spacing w:after="0" w:line="360" w:lineRule="auto"/>
        <w:rPr>
          <w:rFonts w:ascii="Times New Roman" w:hAnsi="Times New Roman" w:eastAsia="Times New Roman" w:cs="Times New Roman"/>
        </w:rPr>
      </w:pPr>
      <w:r w:rsidRPr="64995E9E" w:rsidR="6B1DF8B5">
        <w:rPr>
          <w:rFonts w:ascii="Times New Roman" w:hAnsi="Times New Roman" w:eastAsia="Times New Roman" w:cs="Times New Roman"/>
        </w:rPr>
        <w:t>Δημογραφικό ερωτηματολόγιο και ερωτήσεις σχετικά με την εμπειρία φροντίδας.</w:t>
      </w:r>
    </w:p>
    <w:p w:rsidRPr="00275D64" w:rsidR="20799A6F" w:rsidP="64995E9E" w:rsidRDefault="20799A6F" w14:paraId="52C471B5" w14:textId="249EABF3">
      <w:pPr>
        <w:pStyle w:val="ListParagraph"/>
        <w:numPr>
          <w:ilvl w:val="0"/>
          <w:numId w:val="1"/>
        </w:numPr>
        <w:spacing w:after="0" w:line="360" w:lineRule="auto"/>
        <w:rPr>
          <w:rFonts w:ascii="Times New Roman" w:hAnsi="Times New Roman" w:eastAsia="Times New Roman" w:cs="Times New Roman"/>
          <w:lang w:val="en-US"/>
        </w:rPr>
      </w:pPr>
      <w:r w:rsidRPr="64995E9E" w:rsidR="6B1DF8B5">
        <w:rPr>
          <w:rFonts w:ascii="Times New Roman" w:hAnsi="Times New Roman" w:eastAsia="Times New Roman" w:cs="Times New Roman"/>
          <w:lang w:val="en-US"/>
        </w:rPr>
        <w:t>Family Satisfaction with Advanced Cancer Care Scale (FAMCARE).</w:t>
      </w:r>
    </w:p>
    <w:p w:rsidRPr="00275D64" w:rsidR="20799A6F" w:rsidP="64995E9E" w:rsidRDefault="20799A6F" w14:paraId="67F087A8" w14:textId="78BAC558">
      <w:pPr>
        <w:pStyle w:val="ListParagraph"/>
        <w:numPr>
          <w:ilvl w:val="0"/>
          <w:numId w:val="1"/>
        </w:numPr>
        <w:spacing w:after="0" w:line="360" w:lineRule="auto"/>
        <w:rPr>
          <w:rFonts w:ascii="Times New Roman" w:hAnsi="Times New Roman" w:eastAsia="Times New Roman" w:cs="Times New Roman"/>
          <w:lang w:val="en-US"/>
        </w:rPr>
      </w:pPr>
      <w:r w:rsidRPr="64995E9E" w:rsidR="6B1DF8B5">
        <w:rPr>
          <w:rFonts w:ascii="Times New Roman" w:hAnsi="Times New Roman" w:eastAsia="Times New Roman" w:cs="Times New Roman"/>
          <w:lang w:val="en-US"/>
        </w:rPr>
        <w:t>International Prolonged Grief Disorder Scale (IPGDS).</w:t>
      </w:r>
    </w:p>
    <w:p w:rsidR="20799A6F" w:rsidP="64995E9E" w:rsidRDefault="20799A6F" w14:paraId="2B3861B6" w14:textId="2D26F233">
      <w:pPr>
        <w:pStyle w:val="ListParagraph"/>
        <w:numPr>
          <w:ilvl w:val="0"/>
          <w:numId w:val="1"/>
        </w:numPr>
        <w:spacing w:after="0" w:line="360" w:lineRule="auto"/>
        <w:rPr>
          <w:rFonts w:ascii="Times New Roman" w:hAnsi="Times New Roman" w:eastAsia="Times New Roman" w:cs="Times New Roman"/>
        </w:rPr>
      </w:pPr>
      <w:r w:rsidRPr="64995E9E" w:rsidR="6B1DF8B5">
        <w:rPr>
          <w:rFonts w:ascii="Times New Roman" w:hAnsi="Times New Roman" w:eastAsia="Times New Roman" w:cs="Times New Roman"/>
        </w:rPr>
        <w:t>Patient Health Questionnaire-2 (PHQ-2).</w:t>
      </w:r>
    </w:p>
    <w:p w:rsidRPr="001B3FAB" w:rsidR="20799A6F" w:rsidP="64995E9E" w:rsidRDefault="20799A6F" w14:paraId="5E286001" w14:textId="212A6537">
      <w:pPr>
        <w:pStyle w:val="ListParagraph"/>
        <w:numPr>
          <w:ilvl w:val="0"/>
          <w:numId w:val="1"/>
        </w:numPr>
        <w:spacing w:after="0" w:line="360" w:lineRule="auto"/>
        <w:rPr>
          <w:rFonts w:ascii="Times New Roman" w:hAnsi="Times New Roman" w:eastAsia="Times New Roman" w:cs="Times New Roman"/>
        </w:rPr>
      </w:pPr>
      <w:r w:rsidRPr="64995E9E" w:rsidR="6B1DF8B5">
        <w:rPr>
          <w:rFonts w:ascii="Times New Roman" w:hAnsi="Times New Roman" w:eastAsia="Times New Roman" w:cs="Times New Roman"/>
        </w:rPr>
        <w:t>International Trauma Questionnaire (ITQ).</w:t>
      </w:r>
    </w:p>
    <w:p w:rsidR="001B3FAB" w:rsidP="64995E9E" w:rsidRDefault="001B3FAB" w14:paraId="38270B98" w14:textId="77777777">
      <w:pPr>
        <w:pStyle w:val="ListParagraph"/>
        <w:spacing w:after="0" w:line="360" w:lineRule="auto"/>
        <w:rPr>
          <w:rFonts w:ascii="Times New Roman" w:hAnsi="Times New Roman" w:eastAsia="Times New Roman" w:cs="Times New Roman"/>
        </w:rPr>
      </w:pPr>
    </w:p>
    <w:p w:rsidR="20799A6F" w:rsidP="64995E9E" w:rsidRDefault="20799A6F" w14:paraId="1AA64DF9" w14:textId="4D815A46">
      <w:pPr>
        <w:pStyle w:val="Heading2"/>
        <w:spacing w:line="360" w:lineRule="auto"/>
        <w:rPr>
          <w:rFonts w:ascii="Times New Roman" w:hAnsi="Times New Roman" w:eastAsia="Times New Roman" w:cs="Times New Roman"/>
          <w:color w:val="auto"/>
          <w:sz w:val="24"/>
          <w:szCs w:val="24"/>
        </w:rPr>
      </w:pPr>
      <w:r w:rsidRPr="64995E9E" w:rsidR="274603E8">
        <w:rPr>
          <w:rFonts w:ascii="Times New Roman" w:hAnsi="Times New Roman" w:eastAsia="Times New Roman" w:cs="Times New Roman"/>
          <w:color w:val="auto"/>
          <w:sz w:val="24"/>
          <w:szCs w:val="24"/>
        </w:rPr>
        <w:t xml:space="preserve">4.6 </w:t>
      </w:r>
      <w:r w:rsidRPr="64995E9E" w:rsidR="6B1DF8B5">
        <w:rPr>
          <w:rFonts w:ascii="Times New Roman" w:hAnsi="Times New Roman" w:eastAsia="Times New Roman" w:cs="Times New Roman"/>
          <w:color w:val="auto"/>
          <w:sz w:val="24"/>
          <w:szCs w:val="24"/>
        </w:rPr>
        <w:t>Διαδικασία Συλλογής Δεδομένων</w:t>
      </w:r>
    </w:p>
    <w:p w:rsidRPr="00C038C9" w:rsidR="20799A6F" w:rsidP="64995E9E" w:rsidRDefault="20799A6F" w14:paraId="50BC54FA" w14:textId="1C9F5E8B">
      <w:pPr>
        <w:spacing w:line="360" w:lineRule="auto"/>
        <w:jc w:val="both"/>
        <w:rPr>
          <w:rFonts w:ascii="Times New Roman" w:hAnsi="Times New Roman" w:eastAsia="Times New Roman" w:cs="Times New Roman"/>
          <w:color w:val="EE0000"/>
        </w:rPr>
      </w:pPr>
      <w:r w:rsidRPr="64995E9E" w:rsidR="6B1DF8B5">
        <w:rPr>
          <w:rFonts w:ascii="Times New Roman" w:hAnsi="Times New Roman" w:eastAsia="Times New Roman" w:cs="Times New Roman"/>
        </w:rPr>
        <w:t xml:space="preserve">Η συλλογή των δεδομένων θα πραγματοποιηθεί ηλεκτρονικά μέσω της πλατφόρμας </w:t>
      </w:r>
      <w:r w:rsidRPr="64995E9E" w:rsidR="6B1DF8B5">
        <w:rPr>
          <w:rFonts w:ascii="Times New Roman" w:hAnsi="Times New Roman" w:eastAsia="Times New Roman" w:cs="Times New Roman"/>
        </w:rPr>
        <w:t>Google</w:t>
      </w:r>
      <w:r w:rsidRPr="64995E9E" w:rsidR="6B1DF8B5">
        <w:rPr>
          <w:rFonts w:ascii="Times New Roman" w:hAnsi="Times New Roman" w:eastAsia="Times New Roman" w:cs="Times New Roman"/>
        </w:rPr>
        <w:t xml:space="preserve"> </w:t>
      </w:r>
      <w:r w:rsidRPr="64995E9E" w:rsidR="6B1DF8B5">
        <w:rPr>
          <w:rFonts w:ascii="Times New Roman" w:hAnsi="Times New Roman" w:eastAsia="Times New Roman" w:cs="Times New Roman"/>
        </w:rPr>
        <w:t>Forms</w:t>
      </w:r>
      <w:r w:rsidRPr="64995E9E" w:rsidR="6B1DF8B5">
        <w:rPr>
          <w:rFonts w:ascii="Times New Roman" w:hAnsi="Times New Roman" w:eastAsia="Times New Roman" w:cs="Times New Roman"/>
        </w:rPr>
        <w:t>. Η συμμετοχή θα είναι εθελοντική και ανώνυμη. Πριν από τη συμπλήρωση του ερωτηματολογίου, οι συμμετέχοντες θα ενημερώνονται για τον σκοπό της έρευνας και θα παρέχουν ηλεκτρονικά τη συγκατάθεσή τους.</w:t>
      </w:r>
      <w:r w:rsidRPr="64995E9E" w:rsidR="242A4053">
        <w:rPr>
          <w:rFonts w:ascii="Times New Roman" w:hAnsi="Times New Roman" w:eastAsia="Times New Roman" w:cs="Times New Roman"/>
        </w:rPr>
        <w:t xml:space="preserve"> Τα ερωτηματολόγια θα αναρτηθούν σε ιστοσελίδες με </w:t>
      </w:r>
      <w:r w:rsidRPr="64995E9E" w:rsidR="406D1080">
        <w:rPr>
          <w:rFonts w:ascii="Times New Roman" w:hAnsi="Times New Roman" w:eastAsia="Times New Roman" w:cs="Times New Roman"/>
        </w:rPr>
        <w:t>βασικό περιεχόμενο τις ογκολογικές νόσους.</w:t>
      </w:r>
      <w:r w:rsidRPr="64995E9E" w:rsidR="79237907">
        <w:rPr>
          <w:rFonts w:ascii="Times New Roman" w:hAnsi="Times New Roman" w:eastAsia="Times New Roman" w:cs="Times New Roman"/>
        </w:rPr>
        <w:t xml:space="preserve"> </w:t>
      </w:r>
      <w:r w:rsidRPr="64995E9E" w:rsidR="79237907">
        <w:rPr>
          <w:rFonts w:ascii="Times New Roman" w:hAnsi="Times New Roman" w:eastAsia="Times New Roman" w:cs="Times New Roman"/>
          <w:color w:val="auto"/>
        </w:rPr>
        <w:t>Τα ερωτηματολόγια θα παρ</w:t>
      </w:r>
      <w:r w:rsidRPr="64995E9E" w:rsidR="44CEB05E">
        <w:rPr>
          <w:rFonts w:ascii="Times New Roman" w:hAnsi="Times New Roman" w:eastAsia="Times New Roman" w:cs="Times New Roman"/>
          <w:color w:val="auto"/>
        </w:rPr>
        <w:t>α</w:t>
      </w:r>
      <w:r w:rsidRPr="64995E9E" w:rsidR="79237907">
        <w:rPr>
          <w:rFonts w:ascii="Times New Roman" w:hAnsi="Times New Roman" w:eastAsia="Times New Roman" w:cs="Times New Roman"/>
          <w:color w:val="auto"/>
        </w:rPr>
        <w:t>μείνουν ανοιχτά έως τις 10 Αυγούστου</w:t>
      </w:r>
      <w:r w:rsidRPr="64995E9E" w:rsidR="37F79D78">
        <w:rPr>
          <w:rFonts w:ascii="Times New Roman" w:hAnsi="Times New Roman" w:eastAsia="Times New Roman" w:cs="Times New Roman"/>
          <w:color w:val="auto"/>
        </w:rPr>
        <w:t xml:space="preserve"> (</w:t>
      </w:r>
      <w:r w:rsidRPr="64995E9E" w:rsidR="37F79D78">
        <w:rPr>
          <w:rFonts w:ascii="Times New Roman" w:hAnsi="Times New Roman" w:eastAsia="Times New Roman" w:cs="Times New Roman"/>
          <w:color w:val="auto"/>
        </w:rPr>
        <w:t>καταληκτική</w:t>
      </w:r>
      <w:r w:rsidRPr="64995E9E" w:rsidR="37F79D78">
        <w:rPr>
          <w:rFonts w:ascii="Times New Roman" w:hAnsi="Times New Roman" w:eastAsia="Times New Roman" w:cs="Times New Roman"/>
          <w:color w:val="auto"/>
        </w:rPr>
        <w:t xml:space="preserve"> ημερομηνία)</w:t>
      </w:r>
      <w:r w:rsidRPr="64995E9E" w:rsidR="79237907">
        <w:rPr>
          <w:rFonts w:ascii="Times New Roman" w:hAnsi="Times New Roman" w:eastAsia="Times New Roman" w:cs="Times New Roman"/>
          <w:color w:val="auto"/>
        </w:rPr>
        <w:t xml:space="preserve"> ή έως ότου συγκεντρωθεί </w:t>
      </w:r>
      <w:r w:rsidRPr="64995E9E" w:rsidR="3D7A406B">
        <w:rPr>
          <w:rFonts w:ascii="Times New Roman" w:hAnsi="Times New Roman" w:eastAsia="Times New Roman" w:cs="Times New Roman"/>
          <w:color w:val="auto"/>
        </w:rPr>
        <w:t>ο</w:t>
      </w:r>
      <w:r w:rsidRPr="64995E9E" w:rsidR="79237907">
        <w:rPr>
          <w:rFonts w:ascii="Times New Roman" w:hAnsi="Times New Roman" w:eastAsia="Times New Roman" w:cs="Times New Roman"/>
          <w:color w:val="auto"/>
        </w:rPr>
        <w:t xml:space="preserve"> απαραίτητο</w:t>
      </w:r>
      <w:r w:rsidRPr="64995E9E" w:rsidR="3D7A406B">
        <w:rPr>
          <w:rFonts w:ascii="Times New Roman" w:hAnsi="Times New Roman" w:eastAsia="Times New Roman" w:cs="Times New Roman"/>
          <w:color w:val="auto"/>
        </w:rPr>
        <w:t>ς</w:t>
      </w:r>
      <w:r w:rsidRPr="64995E9E" w:rsidR="79237907">
        <w:rPr>
          <w:rFonts w:ascii="Times New Roman" w:hAnsi="Times New Roman" w:eastAsia="Times New Roman" w:cs="Times New Roman"/>
          <w:color w:val="auto"/>
        </w:rPr>
        <w:t xml:space="preserve"> </w:t>
      </w:r>
      <w:r w:rsidRPr="64995E9E" w:rsidR="3D7A406B">
        <w:rPr>
          <w:rFonts w:ascii="Times New Roman" w:hAnsi="Times New Roman" w:eastAsia="Times New Roman" w:cs="Times New Roman"/>
          <w:color w:val="auto"/>
        </w:rPr>
        <w:t>αριθμός</w:t>
      </w:r>
      <w:r w:rsidRPr="64995E9E" w:rsidR="79237907">
        <w:rPr>
          <w:rFonts w:ascii="Times New Roman" w:hAnsi="Times New Roman" w:eastAsia="Times New Roman" w:cs="Times New Roman"/>
          <w:color w:val="auto"/>
        </w:rPr>
        <w:t xml:space="preserve"> ερωτηματολογίων. </w:t>
      </w:r>
      <w:r w:rsidRPr="64995E9E" w:rsidR="79237907">
        <w:rPr>
          <w:rFonts w:ascii="Times New Roman" w:hAnsi="Times New Roman" w:eastAsia="Times New Roman" w:cs="Times New Roman"/>
          <w:color w:val="EE0000"/>
        </w:rPr>
        <w:t xml:space="preserve"> </w:t>
      </w:r>
    </w:p>
    <w:p w:rsidRPr="00CA7EAE" w:rsidR="00CA7EAE" w:rsidP="64995E9E" w:rsidRDefault="00CA7EAE" w14:paraId="3F89811B" w14:textId="77777777">
      <w:pPr>
        <w:spacing w:line="360" w:lineRule="auto"/>
        <w:jc w:val="both"/>
        <w:rPr>
          <w:rFonts w:ascii="Times New Roman" w:hAnsi="Times New Roman" w:eastAsia="Times New Roman" w:cs="Times New Roman"/>
        </w:rPr>
      </w:pPr>
    </w:p>
    <w:p w:rsidR="20799A6F" w:rsidP="64995E9E" w:rsidRDefault="20799A6F" w14:paraId="5189AB7A" w14:textId="5DC8FD3E">
      <w:pPr>
        <w:pStyle w:val="Heading2"/>
        <w:numPr>
          <w:ilvl w:val="0"/>
          <w:numId w:val="5"/>
        </w:numPr>
        <w:spacing w:line="360" w:lineRule="auto"/>
        <w:rPr>
          <w:rFonts w:ascii="Times New Roman" w:hAnsi="Times New Roman" w:eastAsia="Times New Roman" w:cs="Times New Roman"/>
          <w:color w:val="auto"/>
          <w:sz w:val="24"/>
          <w:szCs w:val="24"/>
        </w:rPr>
      </w:pPr>
      <w:r w:rsidRPr="64995E9E" w:rsidR="6B1DF8B5">
        <w:rPr>
          <w:rFonts w:ascii="Times New Roman" w:hAnsi="Times New Roman" w:eastAsia="Times New Roman" w:cs="Times New Roman"/>
          <w:color w:val="auto"/>
          <w:sz w:val="24"/>
          <w:szCs w:val="24"/>
        </w:rPr>
        <w:t>Στατιστική Ανάλυση</w:t>
      </w:r>
    </w:p>
    <w:p w:rsidR="20799A6F" w:rsidP="64995E9E" w:rsidRDefault="20799A6F" w14:paraId="710A84D3" w14:textId="44021B28">
      <w:pPr>
        <w:spacing w:line="360" w:lineRule="auto"/>
        <w:jc w:val="both"/>
        <w:rPr>
          <w:rFonts w:ascii="Times New Roman" w:hAnsi="Times New Roman" w:eastAsia="Times New Roman" w:cs="Times New Roman"/>
        </w:rPr>
      </w:pPr>
      <w:r w:rsidRPr="64995E9E" w:rsidR="6B1DF8B5">
        <w:rPr>
          <w:rFonts w:ascii="Times New Roman" w:hAnsi="Times New Roman" w:eastAsia="Times New Roman" w:cs="Times New Roman"/>
        </w:rPr>
        <w:t>Θα πραγματοποιηθεί περιγραφική στατιστική για τα δημογραφικά χαρακτηριστικά του δείγματος. Η αξιοπιστία των εργαλείων θα εξεταστεί μέσω του συντελεστή Cronbach's α. Οι σχέσεις μεταξύ των μεταβλητών θα διερευνηθούν μέσω</w:t>
      </w:r>
      <w:r w:rsidRPr="64995E9E" w:rsidR="00F25282">
        <w:rPr>
          <w:rFonts w:ascii="Times New Roman" w:hAnsi="Times New Roman" w:eastAsia="Times New Roman" w:cs="Times New Roman"/>
        </w:rPr>
        <w:t xml:space="preserve"> του συντελεστή συσχέτισης του </w:t>
      </w:r>
      <w:r w:rsidRPr="64995E9E" w:rsidR="6B1DF8B5">
        <w:rPr>
          <w:rFonts w:ascii="Times New Roman" w:hAnsi="Times New Roman" w:eastAsia="Times New Roman" w:cs="Times New Roman"/>
        </w:rPr>
        <w:t xml:space="preserve"> Pearson</w:t>
      </w:r>
      <w:r w:rsidRPr="64995E9E" w:rsidR="25C2A87B">
        <w:rPr>
          <w:rFonts w:ascii="Times New Roman" w:hAnsi="Times New Roman" w:eastAsia="Times New Roman" w:cs="Times New Roman"/>
        </w:rPr>
        <w:t xml:space="preserve"> ή και μοντέλων παλινδρόμησης αν και όπου κριθεί κατάλληλο</w:t>
      </w:r>
      <w:r w:rsidRPr="64995E9E" w:rsidR="6B1DF8B5">
        <w:rPr>
          <w:rFonts w:ascii="Times New Roman" w:hAnsi="Times New Roman" w:eastAsia="Times New Roman" w:cs="Times New Roman"/>
        </w:rPr>
        <w:t>. Για τη σύγκριση ομάδων θα χρησιμοποιηθούν t-test ή αν</w:t>
      </w:r>
      <w:r w:rsidRPr="64995E9E" w:rsidR="00F25282">
        <w:rPr>
          <w:rFonts w:ascii="Times New Roman" w:hAnsi="Times New Roman" w:eastAsia="Times New Roman" w:cs="Times New Roman"/>
        </w:rPr>
        <w:t>άλυση</w:t>
      </w:r>
      <w:r w:rsidRPr="64995E9E" w:rsidR="6B1DF8B5">
        <w:rPr>
          <w:rFonts w:ascii="Times New Roman" w:hAnsi="Times New Roman" w:eastAsia="Times New Roman" w:cs="Times New Roman"/>
        </w:rPr>
        <w:t xml:space="preserve"> διακύμανσης (ANOVA), όπου κρίνεται κατάλληλο.</w:t>
      </w:r>
      <w:r w:rsidRPr="64995E9E" w:rsidR="00F25282">
        <w:rPr>
          <w:rFonts w:ascii="Times New Roman" w:hAnsi="Times New Roman" w:eastAsia="Times New Roman" w:cs="Times New Roman"/>
        </w:rPr>
        <w:t xml:space="preserve"> </w:t>
      </w:r>
    </w:p>
    <w:p w:rsidR="00BE0C8A" w:rsidP="64995E9E" w:rsidRDefault="00BE0C8A" w14:paraId="225BE60D" w14:textId="77777777">
      <w:pPr>
        <w:spacing w:line="360" w:lineRule="auto"/>
        <w:jc w:val="both"/>
      </w:pPr>
    </w:p>
    <w:p w:rsidR="20799A6F" w:rsidP="64995E9E" w:rsidRDefault="20799A6F" w14:paraId="6EFC77D9" w14:textId="61325477">
      <w:pPr>
        <w:pStyle w:val="Heading2"/>
        <w:numPr>
          <w:ilvl w:val="0"/>
          <w:numId w:val="5"/>
        </w:numPr>
        <w:spacing w:line="360" w:lineRule="auto"/>
        <w:rPr>
          <w:rFonts w:ascii="Times New Roman" w:hAnsi="Times New Roman" w:eastAsia="Times New Roman" w:cs="Times New Roman"/>
          <w:color w:val="auto"/>
          <w:sz w:val="24"/>
          <w:szCs w:val="24"/>
        </w:rPr>
      </w:pPr>
      <w:r w:rsidRPr="64995E9E" w:rsidR="6B1DF8B5">
        <w:rPr>
          <w:rFonts w:ascii="Times New Roman" w:hAnsi="Times New Roman" w:eastAsia="Times New Roman" w:cs="Times New Roman"/>
          <w:color w:val="auto"/>
          <w:sz w:val="24"/>
          <w:szCs w:val="24"/>
        </w:rPr>
        <w:t>Ηθικά και Δεοντολογικά Ζητήματα</w:t>
      </w:r>
    </w:p>
    <w:p w:rsidR="20799A6F" w:rsidP="64995E9E" w:rsidRDefault="20799A6F" w14:paraId="5447C0EB" w14:textId="528AAFFB">
      <w:pPr>
        <w:spacing w:line="360" w:lineRule="auto"/>
        <w:jc w:val="both"/>
      </w:pPr>
      <w:r w:rsidRPr="64995E9E" w:rsidR="6B1DF8B5">
        <w:rPr>
          <w:rFonts w:ascii="Times New Roman" w:hAnsi="Times New Roman" w:eastAsia="Times New Roman" w:cs="Times New Roman"/>
        </w:rPr>
        <w:t xml:space="preserve">Η συμμετοχή θα είναι εθελοντική και ανώνυμη. Οι συμμετέχοντες θα έχουν τη δυνατότητα να αποχωρήσουν οποιαδήποτε στιγμή πριν από την οριστική υποβολή του ερωτηματολογίου. Τα δεδομένα θα χρησιμοποιηθούν αποκλειστικά για ερευνητικούς σκοπούς και θα τηρούνται </w:t>
      </w:r>
      <w:r w:rsidRPr="64995E9E" w:rsidR="6B1DF8B5">
        <w:rPr>
          <w:rFonts w:ascii="Times New Roman" w:hAnsi="Times New Roman" w:eastAsia="Times New Roman" w:cs="Times New Roman"/>
        </w:rPr>
        <w:t>σύμφωνα με τις αρχές προστασίας προσωπικών δεδομένων και τις διατάξεις του Γενικού Κανονισμού Προστασίας Δεδομένων (GDPR).</w:t>
      </w:r>
    </w:p>
    <w:p w:rsidR="64995E9E" w:rsidP="64995E9E" w:rsidRDefault="64995E9E" w14:paraId="344D41DB" w14:textId="67186C93">
      <w:pPr>
        <w:spacing w:line="360" w:lineRule="auto"/>
        <w:jc w:val="both"/>
        <w:rPr>
          <w:rFonts w:ascii="Times New Roman" w:hAnsi="Times New Roman" w:eastAsia="Times New Roman" w:cs="Times New Roman"/>
        </w:rPr>
      </w:pPr>
    </w:p>
    <w:p w:rsidR="04231AE5" w:rsidP="64995E9E" w:rsidRDefault="04231AE5" w14:paraId="33478454" w14:textId="0CB64228">
      <w:pPr>
        <w:spacing w:line="360" w:lineRule="auto"/>
        <w:jc w:val="both"/>
        <w:rPr>
          <w:rFonts w:ascii="Times New Roman" w:hAnsi="Times New Roman" w:eastAsia="Times New Roman" w:cs="Times New Roman"/>
        </w:rPr>
      </w:pPr>
      <w:r w:rsidRPr="64995E9E" w:rsidR="04231AE5">
        <w:rPr>
          <w:rFonts w:ascii="Times New Roman" w:hAnsi="Times New Roman" w:eastAsia="Times New Roman" w:cs="Times New Roman"/>
        </w:rPr>
        <w:t xml:space="preserve">                                        </w:t>
      </w:r>
      <w:r w:rsidRPr="64995E9E" w:rsidR="4DD59EBC">
        <w:rPr>
          <w:rFonts w:ascii="Times New Roman" w:hAnsi="Times New Roman" w:eastAsia="Times New Roman" w:cs="Times New Roman"/>
        </w:rPr>
        <w:t xml:space="preserve">  </w:t>
      </w:r>
      <w:r w:rsidRPr="64995E9E" w:rsidR="04231AE5">
        <w:rPr>
          <w:rFonts w:ascii="Times New Roman" w:hAnsi="Times New Roman" w:eastAsia="Times New Roman" w:cs="Times New Roman"/>
        </w:rPr>
        <w:t xml:space="preserve">    </w:t>
      </w:r>
      <w:r w:rsidRPr="64995E9E" w:rsidR="04231AE5">
        <w:rPr>
          <w:rFonts w:ascii="Times New Roman" w:hAnsi="Times New Roman" w:eastAsia="Times New Roman" w:cs="Times New Roman"/>
          <w:b w:val="1"/>
          <w:bCs w:val="1"/>
          <w:color w:val="auto"/>
        </w:rPr>
        <w:t xml:space="preserve">    Βιβλιογραφία </w:t>
      </w:r>
    </w:p>
    <w:p w:rsidR="5FC6F1CE" w:rsidP="64995E9E" w:rsidRDefault="5FC6F1CE" w14:paraId="687740B2" w14:textId="13189290">
      <w:pPr>
        <w:pStyle w:val="ListParagraph"/>
        <w:numPr>
          <w:ilvl w:val="0"/>
          <w:numId w:val="4"/>
        </w:numPr>
        <w:spacing w:line="360" w:lineRule="auto"/>
        <w:jc w:val="both"/>
        <w:rPr>
          <w:sz w:val="24"/>
          <w:szCs w:val="24"/>
        </w:rPr>
      </w:pPr>
      <w:r w:rsidRPr="64995E9E" w:rsidR="5FC6F1CE">
        <w:rPr>
          <w:rFonts w:ascii="Times New Roman" w:hAnsi="Times New Roman" w:eastAsia="Times New Roman" w:cs="Times New Roman"/>
        </w:rPr>
        <w:t xml:space="preserve"> 1. </w:t>
      </w:r>
      <w:r w:rsidRPr="64995E9E" w:rsidR="5FC6F1CE">
        <w:rPr>
          <w:rFonts w:ascii="Times New Roman" w:hAnsi="Times New Roman" w:eastAsia="Times New Roman" w:cs="Times New Roman"/>
          <w:noProof w:val="0"/>
          <w:sz w:val="24"/>
          <w:szCs w:val="24"/>
          <w:lang w:val="el-GR"/>
        </w:rPr>
        <w:t>López</w:t>
      </w:r>
      <w:r w:rsidRPr="64995E9E" w:rsidR="5FC6F1CE">
        <w:rPr>
          <w:rFonts w:ascii="Times New Roman" w:hAnsi="Times New Roman" w:eastAsia="Times New Roman" w:cs="Times New Roman"/>
          <w:noProof w:val="0"/>
          <w:sz w:val="24"/>
          <w:szCs w:val="24"/>
          <w:lang w:val="el-GR"/>
        </w:rPr>
        <w:t xml:space="preserve"> </w:t>
      </w:r>
      <w:r w:rsidRPr="64995E9E" w:rsidR="5FC6F1CE">
        <w:rPr>
          <w:rFonts w:ascii="Times New Roman" w:hAnsi="Times New Roman" w:eastAsia="Times New Roman" w:cs="Times New Roman"/>
          <w:noProof w:val="0"/>
          <w:sz w:val="24"/>
          <w:szCs w:val="24"/>
          <w:lang w:val="el-GR"/>
        </w:rPr>
        <w:t>Pérez</w:t>
      </w:r>
      <w:r w:rsidRPr="64995E9E" w:rsidR="5FC6F1CE">
        <w:rPr>
          <w:rFonts w:ascii="Times New Roman" w:hAnsi="Times New Roman" w:eastAsia="Times New Roman" w:cs="Times New Roman"/>
          <w:noProof w:val="0"/>
          <w:sz w:val="24"/>
          <w:szCs w:val="24"/>
          <w:lang w:val="el-GR"/>
        </w:rPr>
        <w:t xml:space="preserve">, Y., </w:t>
      </w:r>
      <w:r w:rsidRPr="64995E9E" w:rsidR="5FC6F1CE">
        <w:rPr>
          <w:rFonts w:ascii="Times New Roman" w:hAnsi="Times New Roman" w:eastAsia="Times New Roman" w:cs="Times New Roman"/>
          <w:noProof w:val="0"/>
          <w:sz w:val="24"/>
          <w:szCs w:val="24"/>
          <w:lang w:val="el-GR"/>
        </w:rPr>
        <w:t>Cruzado</w:t>
      </w:r>
      <w:r w:rsidRPr="64995E9E" w:rsidR="5FC6F1CE">
        <w:rPr>
          <w:rFonts w:ascii="Times New Roman" w:hAnsi="Times New Roman" w:eastAsia="Times New Roman" w:cs="Times New Roman"/>
          <w:noProof w:val="0"/>
          <w:sz w:val="24"/>
          <w:szCs w:val="24"/>
          <w:lang w:val="el-GR"/>
        </w:rPr>
        <w:t xml:space="preserve">, J. A., </w:t>
      </w:r>
      <w:r w:rsidRPr="64995E9E" w:rsidR="5FC6F1CE">
        <w:rPr>
          <w:rFonts w:ascii="Times New Roman" w:hAnsi="Times New Roman" w:eastAsia="Times New Roman" w:cs="Times New Roman"/>
          <w:noProof w:val="0"/>
          <w:sz w:val="24"/>
          <w:szCs w:val="24"/>
          <w:lang w:val="el-GR"/>
        </w:rPr>
        <w:t>Lallana-Frías</w:t>
      </w:r>
      <w:r w:rsidRPr="64995E9E" w:rsidR="5FC6F1CE">
        <w:rPr>
          <w:rFonts w:ascii="Times New Roman" w:hAnsi="Times New Roman" w:eastAsia="Times New Roman" w:cs="Times New Roman"/>
          <w:noProof w:val="0"/>
          <w:sz w:val="24"/>
          <w:szCs w:val="24"/>
          <w:lang w:val="el-GR"/>
        </w:rPr>
        <w:t xml:space="preserve">, E., </w:t>
      </w:r>
      <w:r w:rsidRPr="64995E9E" w:rsidR="5FC6F1CE">
        <w:rPr>
          <w:rFonts w:ascii="Times New Roman" w:hAnsi="Times New Roman" w:eastAsia="Times New Roman" w:cs="Times New Roman"/>
          <w:noProof w:val="0"/>
          <w:sz w:val="24"/>
          <w:szCs w:val="24"/>
          <w:lang w:val="el-GR"/>
        </w:rPr>
        <w:t>et</w:t>
      </w:r>
      <w:r w:rsidRPr="64995E9E" w:rsidR="5FC6F1CE">
        <w:rPr>
          <w:rFonts w:ascii="Times New Roman" w:hAnsi="Times New Roman" w:eastAsia="Times New Roman" w:cs="Times New Roman"/>
          <w:noProof w:val="0"/>
          <w:sz w:val="24"/>
          <w:szCs w:val="24"/>
          <w:lang w:val="el-GR"/>
        </w:rPr>
        <w:t xml:space="preserve"> </w:t>
      </w:r>
      <w:r w:rsidRPr="64995E9E" w:rsidR="5FC6F1CE">
        <w:rPr>
          <w:rFonts w:ascii="Times New Roman" w:hAnsi="Times New Roman" w:eastAsia="Times New Roman" w:cs="Times New Roman"/>
          <w:noProof w:val="0"/>
          <w:sz w:val="24"/>
          <w:szCs w:val="24"/>
          <w:lang w:val="el-GR"/>
        </w:rPr>
        <w:t>al</w:t>
      </w:r>
      <w:r w:rsidRPr="64995E9E" w:rsidR="5FC6F1CE">
        <w:rPr>
          <w:rFonts w:ascii="Times New Roman" w:hAnsi="Times New Roman" w:eastAsia="Times New Roman" w:cs="Times New Roman"/>
          <w:noProof w:val="0"/>
          <w:sz w:val="24"/>
          <w:szCs w:val="24"/>
          <w:lang w:val="el-GR"/>
        </w:rPr>
        <w:t xml:space="preserve">. (2022). </w:t>
      </w:r>
      <w:r w:rsidRPr="64995E9E" w:rsidR="5FC6F1CE">
        <w:rPr>
          <w:rFonts w:ascii="Times New Roman" w:hAnsi="Times New Roman" w:eastAsia="Times New Roman" w:cs="Times New Roman"/>
          <w:noProof w:val="0"/>
          <w:sz w:val="24"/>
          <w:szCs w:val="24"/>
          <w:lang w:val="el-GR"/>
        </w:rPr>
        <w:t>Predictors</w:t>
      </w:r>
      <w:r w:rsidRPr="64995E9E" w:rsidR="5FC6F1CE">
        <w:rPr>
          <w:rFonts w:ascii="Times New Roman" w:hAnsi="Times New Roman" w:eastAsia="Times New Roman" w:cs="Times New Roman"/>
          <w:noProof w:val="0"/>
          <w:sz w:val="24"/>
          <w:szCs w:val="24"/>
          <w:lang w:val="el-GR"/>
        </w:rPr>
        <w:t xml:space="preserve"> of </w:t>
      </w:r>
      <w:r w:rsidRPr="64995E9E" w:rsidR="5FC6F1CE">
        <w:rPr>
          <w:rFonts w:ascii="Times New Roman" w:hAnsi="Times New Roman" w:eastAsia="Times New Roman" w:cs="Times New Roman"/>
          <w:noProof w:val="0"/>
          <w:sz w:val="24"/>
          <w:szCs w:val="24"/>
          <w:lang w:val="el-GR"/>
        </w:rPr>
        <w:t>complicated</w:t>
      </w:r>
      <w:r w:rsidRPr="64995E9E" w:rsidR="5FC6F1CE">
        <w:rPr>
          <w:rFonts w:ascii="Times New Roman" w:hAnsi="Times New Roman" w:eastAsia="Times New Roman" w:cs="Times New Roman"/>
          <w:noProof w:val="0"/>
          <w:sz w:val="24"/>
          <w:szCs w:val="24"/>
          <w:lang w:val="el-GR"/>
        </w:rPr>
        <w:t xml:space="preserve"> </w:t>
      </w:r>
      <w:r w:rsidRPr="64995E9E" w:rsidR="5FC6F1CE">
        <w:rPr>
          <w:rFonts w:ascii="Times New Roman" w:hAnsi="Times New Roman" w:eastAsia="Times New Roman" w:cs="Times New Roman"/>
          <w:noProof w:val="0"/>
          <w:sz w:val="24"/>
          <w:szCs w:val="24"/>
          <w:lang w:val="el-GR"/>
        </w:rPr>
        <w:t>grief</w:t>
      </w:r>
      <w:r w:rsidRPr="64995E9E" w:rsidR="5FC6F1CE">
        <w:rPr>
          <w:rFonts w:ascii="Times New Roman" w:hAnsi="Times New Roman" w:eastAsia="Times New Roman" w:cs="Times New Roman"/>
          <w:noProof w:val="0"/>
          <w:sz w:val="24"/>
          <w:szCs w:val="24"/>
          <w:lang w:val="el-GR"/>
        </w:rPr>
        <w:t xml:space="preserve"> in </w:t>
      </w:r>
      <w:r w:rsidRPr="64995E9E" w:rsidR="5FC6F1CE">
        <w:rPr>
          <w:rFonts w:ascii="Times New Roman" w:hAnsi="Times New Roman" w:eastAsia="Times New Roman" w:cs="Times New Roman"/>
          <w:noProof w:val="0"/>
          <w:sz w:val="24"/>
          <w:szCs w:val="24"/>
          <w:lang w:val="el-GR"/>
        </w:rPr>
        <w:t>caregivers</w:t>
      </w:r>
      <w:r w:rsidRPr="64995E9E" w:rsidR="5FC6F1CE">
        <w:rPr>
          <w:rFonts w:ascii="Times New Roman" w:hAnsi="Times New Roman" w:eastAsia="Times New Roman" w:cs="Times New Roman"/>
          <w:noProof w:val="0"/>
          <w:sz w:val="24"/>
          <w:szCs w:val="24"/>
          <w:lang w:val="el-GR"/>
        </w:rPr>
        <w:t xml:space="preserve"> of </w:t>
      </w:r>
      <w:r w:rsidRPr="64995E9E" w:rsidR="5FC6F1CE">
        <w:rPr>
          <w:rFonts w:ascii="Times New Roman" w:hAnsi="Times New Roman" w:eastAsia="Times New Roman" w:cs="Times New Roman"/>
          <w:noProof w:val="0"/>
          <w:sz w:val="24"/>
          <w:szCs w:val="24"/>
          <w:lang w:val="el-GR"/>
        </w:rPr>
        <w:t>palliative</w:t>
      </w:r>
      <w:r w:rsidRPr="64995E9E" w:rsidR="5FC6F1CE">
        <w:rPr>
          <w:rFonts w:ascii="Times New Roman" w:hAnsi="Times New Roman" w:eastAsia="Times New Roman" w:cs="Times New Roman"/>
          <w:noProof w:val="0"/>
          <w:sz w:val="24"/>
          <w:szCs w:val="24"/>
          <w:lang w:val="el-GR"/>
        </w:rPr>
        <w:t xml:space="preserve"> </w:t>
      </w:r>
      <w:r w:rsidRPr="64995E9E" w:rsidR="5FC6F1CE">
        <w:rPr>
          <w:rFonts w:ascii="Times New Roman" w:hAnsi="Times New Roman" w:eastAsia="Times New Roman" w:cs="Times New Roman"/>
          <w:noProof w:val="0"/>
          <w:sz w:val="24"/>
          <w:szCs w:val="24"/>
          <w:lang w:val="el-GR"/>
        </w:rPr>
        <w:t>care</w:t>
      </w:r>
      <w:r w:rsidRPr="64995E9E" w:rsidR="5FC6F1CE">
        <w:rPr>
          <w:rFonts w:ascii="Times New Roman" w:hAnsi="Times New Roman" w:eastAsia="Times New Roman" w:cs="Times New Roman"/>
          <w:noProof w:val="0"/>
          <w:sz w:val="24"/>
          <w:szCs w:val="24"/>
          <w:lang w:val="el-GR"/>
        </w:rPr>
        <w:t xml:space="preserve"> </w:t>
      </w:r>
      <w:r w:rsidRPr="64995E9E" w:rsidR="5FC6F1CE">
        <w:rPr>
          <w:rFonts w:ascii="Times New Roman" w:hAnsi="Times New Roman" w:eastAsia="Times New Roman" w:cs="Times New Roman"/>
          <w:noProof w:val="0"/>
          <w:sz w:val="24"/>
          <w:szCs w:val="24"/>
          <w:lang w:val="el-GR"/>
        </w:rPr>
        <w:t>patients</w:t>
      </w:r>
      <w:r w:rsidRPr="64995E9E" w:rsidR="5FC6F1CE">
        <w:rPr>
          <w:rFonts w:ascii="Times New Roman" w:hAnsi="Times New Roman" w:eastAsia="Times New Roman" w:cs="Times New Roman"/>
          <w:noProof w:val="0"/>
          <w:sz w:val="24"/>
          <w:szCs w:val="24"/>
          <w:lang w:val="el-GR"/>
        </w:rPr>
        <w:t xml:space="preserve">. </w:t>
      </w:r>
      <w:r w:rsidRPr="64995E9E" w:rsidR="5FC6F1CE">
        <w:rPr>
          <w:rFonts w:ascii="Times New Roman" w:hAnsi="Times New Roman" w:eastAsia="Times New Roman" w:cs="Times New Roman"/>
          <w:i w:val="1"/>
          <w:iCs w:val="1"/>
          <w:noProof w:val="0"/>
          <w:sz w:val="24"/>
          <w:szCs w:val="24"/>
          <w:lang w:val="el-GR"/>
        </w:rPr>
        <w:t>Omega</w:t>
      </w:r>
      <w:r w:rsidRPr="64995E9E" w:rsidR="5FC6F1CE">
        <w:rPr>
          <w:rFonts w:ascii="Times New Roman" w:hAnsi="Times New Roman" w:eastAsia="Times New Roman" w:cs="Times New Roman"/>
          <w:i w:val="1"/>
          <w:iCs w:val="1"/>
          <w:noProof w:val="0"/>
          <w:sz w:val="24"/>
          <w:szCs w:val="24"/>
          <w:lang w:val="el-GR"/>
        </w:rPr>
        <w:t xml:space="preserve">: Journal of </w:t>
      </w:r>
      <w:r w:rsidRPr="64995E9E" w:rsidR="5FC6F1CE">
        <w:rPr>
          <w:rFonts w:ascii="Times New Roman" w:hAnsi="Times New Roman" w:eastAsia="Times New Roman" w:cs="Times New Roman"/>
          <w:i w:val="1"/>
          <w:iCs w:val="1"/>
          <w:noProof w:val="0"/>
          <w:sz w:val="24"/>
          <w:szCs w:val="24"/>
          <w:lang w:val="el-GR"/>
        </w:rPr>
        <w:t>Death</w:t>
      </w:r>
      <w:r w:rsidRPr="64995E9E" w:rsidR="5FC6F1CE">
        <w:rPr>
          <w:rFonts w:ascii="Times New Roman" w:hAnsi="Times New Roman" w:eastAsia="Times New Roman" w:cs="Times New Roman"/>
          <w:i w:val="1"/>
          <w:iCs w:val="1"/>
          <w:noProof w:val="0"/>
          <w:sz w:val="24"/>
          <w:szCs w:val="24"/>
          <w:lang w:val="el-GR"/>
        </w:rPr>
        <w:t xml:space="preserve"> and </w:t>
      </w:r>
      <w:r w:rsidRPr="64995E9E" w:rsidR="5FC6F1CE">
        <w:rPr>
          <w:rFonts w:ascii="Times New Roman" w:hAnsi="Times New Roman" w:eastAsia="Times New Roman" w:cs="Times New Roman"/>
          <w:i w:val="1"/>
          <w:iCs w:val="1"/>
          <w:noProof w:val="0"/>
          <w:sz w:val="24"/>
          <w:szCs w:val="24"/>
          <w:lang w:val="el-GR"/>
        </w:rPr>
        <w:t>Dying</w:t>
      </w:r>
      <w:r w:rsidRPr="64995E9E" w:rsidR="5FC6F1CE">
        <w:rPr>
          <w:rFonts w:ascii="Times New Roman" w:hAnsi="Times New Roman" w:eastAsia="Times New Roman" w:cs="Times New Roman"/>
          <w:i w:val="1"/>
          <w:iCs w:val="1"/>
          <w:noProof w:val="0"/>
          <w:sz w:val="24"/>
          <w:szCs w:val="24"/>
          <w:lang w:val="el-GR"/>
        </w:rPr>
        <w:t>, 91</w:t>
      </w:r>
      <w:r w:rsidRPr="64995E9E" w:rsidR="5FC6F1CE">
        <w:rPr>
          <w:rFonts w:ascii="Times New Roman" w:hAnsi="Times New Roman" w:eastAsia="Times New Roman" w:cs="Times New Roman"/>
          <w:noProof w:val="0"/>
          <w:sz w:val="24"/>
          <w:szCs w:val="24"/>
          <w:lang w:val="el-GR"/>
        </w:rPr>
        <w:t xml:space="preserve">(1). </w:t>
      </w:r>
      <w:hyperlink r:id="R2f18f6b1f0c14732">
        <w:r w:rsidRPr="64995E9E" w:rsidR="5FC6F1CE">
          <w:rPr>
            <w:rStyle w:val="Hyperlink"/>
            <w:noProof w:val="0"/>
            <w:lang w:val="el-GR"/>
          </w:rPr>
          <w:t>https://doi.org/10.1177/00302228221133437</w:t>
        </w:r>
      </w:hyperlink>
    </w:p>
    <w:p w:rsidR="64995E9E" w:rsidP="64995E9E" w:rsidRDefault="64995E9E" w14:paraId="2C307AD7" w14:textId="6051479F">
      <w:pPr>
        <w:pStyle w:val="ListParagraph"/>
        <w:spacing w:line="360" w:lineRule="auto"/>
        <w:ind w:left="720"/>
        <w:jc w:val="both"/>
        <w:rPr>
          <w:sz w:val="24"/>
          <w:szCs w:val="24"/>
        </w:rPr>
      </w:pPr>
    </w:p>
    <w:p w:rsidR="04231AE5" w:rsidP="64995E9E" w:rsidRDefault="04231AE5" w14:paraId="2C4E9066" w14:textId="4619021F">
      <w:pPr>
        <w:pStyle w:val="ListParagraph"/>
        <w:numPr>
          <w:ilvl w:val="0"/>
          <w:numId w:val="4"/>
        </w:numPr>
        <w:spacing w:line="360" w:lineRule="auto"/>
        <w:jc w:val="both"/>
        <w:rPr>
          <w:rFonts w:ascii="Times New Roman" w:hAnsi="Times New Roman" w:eastAsia="Times New Roman" w:cs="Times New Roman" w:asciiTheme="minorAscii" w:hAnsiTheme="minorAscii" w:eastAsiaTheme="minorAscii" w:cstheme="minorAscii"/>
          <w:noProof w:val="0"/>
          <w:sz w:val="24"/>
          <w:szCs w:val="24"/>
          <w:lang w:val="en-US"/>
        </w:rPr>
      </w:pPr>
      <w:r w:rsidRPr="64995E9E" w:rsidR="04231AE5">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222222"/>
          <w:sz w:val="24"/>
          <w:szCs w:val="24"/>
          <w:lang w:val="en-US"/>
        </w:rPr>
        <w:t xml:space="preserve">Hudson, P.L., Remedios, C. &amp; Thomas, K. A systematic review of psychosocial interventions for family carers of palliative care patients. </w:t>
      </w:r>
      <w:r w:rsidRPr="64995E9E" w:rsidR="04231AE5">
        <w:rPr>
          <w:rFonts w:ascii="Times New Roman" w:hAnsi="Times New Roman" w:eastAsia="Times New Roman" w:cs="Times New Roman" w:asciiTheme="minorAscii" w:hAnsiTheme="minorAscii" w:eastAsiaTheme="minorAscii" w:cstheme="minorAscii"/>
          <w:b w:val="0"/>
          <w:bCs w:val="0"/>
          <w:i w:val="1"/>
          <w:iCs w:val="1"/>
          <w:caps w:val="0"/>
          <w:smallCaps w:val="0"/>
          <w:noProof w:val="0"/>
          <w:color w:val="222222"/>
          <w:sz w:val="24"/>
          <w:szCs w:val="24"/>
          <w:lang w:val="en-US"/>
        </w:rPr>
        <w:t>BMC Palliat Care</w:t>
      </w:r>
      <w:r w:rsidRPr="64995E9E" w:rsidR="04231AE5">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222222"/>
          <w:sz w:val="24"/>
          <w:szCs w:val="24"/>
          <w:lang w:val="en-US"/>
        </w:rPr>
        <w:t xml:space="preserve"> </w:t>
      </w:r>
      <w:r w:rsidRPr="64995E9E" w:rsidR="04231AE5">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222222"/>
          <w:sz w:val="24"/>
          <w:szCs w:val="24"/>
          <w:lang w:val="en-US"/>
        </w:rPr>
        <w:t>9</w:t>
      </w:r>
      <w:r w:rsidRPr="64995E9E" w:rsidR="04231AE5">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222222"/>
          <w:sz w:val="24"/>
          <w:szCs w:val="24"/>
          <w:lang w:val="en-US"/>
        </w:rPr>
        <w:t xml:space="preserve">, 17 (2010). </w:t>
      </w:r>
      <w:hyperlink r:id="R17a68ba18f314201">
        <w:r w:rsidRPr="64995E9E" w:rsidR="04231AE5">
          <w:rPr>
            <w:rStyle w:val="Hyperlink"/>
            <w:b w:val="0"/>
            <w:bCs w:val="0"/>
            <w:i w:val="0"/>
            <w:iCs w:val="0"/>
            <w:caps w:val="0"/>
            <w:smallCaps w:val="0"/>
            <w:noProof w:val="0"/>
            <w:lang w:val="en-US"/>
          </w:rPr>
          <w:t>https://doi.org/10.1186/1472-684X-9-17</w:t>
        </w:r>
      </w:hyperlink>
    </w:p>
    <w:p w:rsidR="64995E9E" w:rsidP="64995E9E" w:rsidRDefault="64995E9E" w14:paraId="41A8BD15" w14:textId="6FADA9D2">
      <w:pPr>
        <w:pStyle w:val="ListParagraph"/>
        <w:spacing w:line="360" w:lineRule="auto"/>
        <w:ind w:left="720"/>
        <w:jc w:val="both"/>
        <w:rPr>
          <w:rFonts w:ascii="Times New Roman" w:hAnsi="Times New Roman" w:eastAsia="Times New Roman" w:cs="Times New Roman" w:asciiTheme="minorAscii" w:hAnsiTheme="minorAscii" w:eastAsiaTheme="minorAscii" w:cstheme="minorAscii"/>
          <w:noProof w:val="0"/>
          <w:sz w:val="24"/>
          <w:szCs w:val="24"/>
          <w:lang w:val="en-US"/>
        </w:rPr>
      </w:pPr>
    </w:p>
    <w:p w:rsidR="04231AE5" w:rsidP="64995E9E" w:rsidRDefault="04231AE5" w14:paraId="3B2BFC15" w14:textId="30FCA046">
      <w:pPr>
        <w:pStyle w:val="ListParagraph"/>
        <w:numPr>
          <w:ilvl w:val="0"/>
          <w:numId w:val="4"/>
        </w:numPr>
        <w:spacing w:line="360" w:lineRule="auto"/>
        <w:jc w:val="both"/>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222222"/>
          <w:sz w:val="24"/>
          <w:szCs w:val="24"/>
          <w:lang w:val="en-US"/>
        </w:rPr>
      </w:pPr>
      <w:r w:rsidRPr="64995E9E" w:rsidR="04231AE5">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222222"/>
          <w:sz w:val="24"/>
          <w:szCs w:val="24"/>
          <w:lang w:val="en-US"/>
        </w:rPr>
        <w:t xml:space="preserve">Kim, Y., Carver, C. S., Spiegel, D., Mitchell, H.-R., and Cannady, R. S. (2017) Role of family caregivers' self-perceived preparedness for the death of the cancer patient in long-term adjustment to bereavement. Psycho-Oncology, 26: 484–492. </w:t>
      </w:r>
      <w:r w:rsidRPr="64995E9E" w:rsidR="04231AE5">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222222"/>
          <w:sz w:val="24"/>
          <w:szCs w:val="24"/>
          <w:lang w:val="en-US"/>
        </w:rPr>
        <w:t>doi</w:t>
      </w:r>
      <w:r w:rsidRPr="64995E9E" w:rsidR="04231AE5">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222222"/>
          <w:sz w:val="24"/>
          <w:szCs w:val="24"/>
          <w:lang w:val="en-US"/>
        </w:rPr>
        <w:t>: 10.1002/pon.4042.</w:t>
      </w:r>
      <w:r w:rsidRPr="64995E9E" w:rsidR="4E4B1729">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222222"/>
          <w:sz w:val="24"/>
          <w:szCs w:val="24"/>
          <w:lang w:val="en-US"/>
        </w:rPr>
        <w:t xml:space="preserve">  </w:t>
      </w:r>
    </w:p>
    <w:p w:rsidR="38929D82" w:rsidP="64995E9E" w:rsidRDefault="38929D82" w14:paraId="4A4C2429" w14:textId="0ACD0848">
      <w:pPr>
        <w:spacing w:line="360" w:lineRule="auto"/>
        <w:rPr>
          <w:rFonts w:ascii="Times New Roman" w:hAnsi="Times New Roman" w:eastAsia="Times New Roman" w:cs="Times New Roman"/>
        </w:rPr>
      </w:pPr>
    </w:p>
    <w:sectPr w:rsidR="38929D82">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7">
    <w:nsid w:val="518637e1"/>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6">
    <w:nsid w:val="4de4c0c7"/>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5">
    <w:nsid w:val="49d45a74"/>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4">
    <w:nsid w:val="4a595e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5817071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E8CE95D"/>
    <w:multiLevelType w:val="hybridMultilevel"/>
    <w:tmpl w:val="DA7C6344"/>
    <w:lvl w:ilvl="0" w:tplc="99AE23DE">
      <w:start w:val="1"/>
      <w:numFmt w:val="bullet"/>
      <w:lvlText w:val=""/>
      <w:lvlJc w:val="left"/>
      <w:pPr>
        <w:ind w:left="720" w:hanging="360"/>
      </w:pPr>
      <w:rPr>
        <w:rFonts w:hint="default" w:ascii="Symbol" w:hAnsi="Symbol"/>
      </w:rPr>
    </w:lvl>
    <w:lvl w:ilvl="1" w:tplc="8000FE4E">
      <w:start w:val="1"/>
      <w:numFmt w:val="bullet"/>
      <w:lvlText w:val="o"/>
      <w:lvlJc w:val="left"/>
      <w:pPr>
        <w:ind w:left="1440" w:hanging="360"/>
      </w:pPr>
      <w:rPr>
        <w:rFonts w:hint="default" w:ascii="Courier New" w:hAnsi="Courier New"/>
      </w:rPr>
    </w:lvl>
    <w:lvl w:ilvl="2" w:tplc="8626FB3E">
      <w:start w:val="1"/>
      <w:numFmt w:val="bullet"/>
      <w:lvlText w:val=""/>
      <w:lvlJc w:val="left"/>
      <w:pPr>
        <w:ind w:left="2160" w:hanging="360"/>
      </w:pPr>
      <w:rPr>
        <w:rFonts w:hint="default" w:ascii="Wingdings" w:hAnsi="Wingdings"/>
      </w:rPr>
    </w:lvl>
    <w:lvl w:ilvl="3" w:tplc="0DEEC80E">
      <w:start w:val="1"/>
      <w:numFmt w:val="bullet"/>
      <w:lvlText w:val=""/>
      <w:lvlJc w:val="left"/>
      <w:pPr>
        <w:ind w:left="2880" w:hanging="360"/>
      </w:pPr>
      <w:rPr>
        <w:rFonts w:hint="default" w:ascii="Symbol" w:hAnsi="Symbol"/>
      </w:rPr>
    </w:lvl>
    <w:lvl w:ilvl="4" w:tplc="79D6785A">
      <w:start w:val="1"/>
      <w:numFmt w:val="bullet"/>
      <w:lvlText w:val="o"/>
      <w:lvlJc w:val="left"/>
      <w:pPr>
        <w:ind w:left="3600" w:hanging="360"/>
      </w:pPr>
      <w:rPr>
        <w:rFonts w:hint="default" w:ascii="Courier New" w:hAnsi="Courier New"/>
      </w:rPr>
    </w:lvl>
    <w:lvl w:ilvl="5" w:tplc="774051BA">
      <w:start w:val="1"/>
      <w:numFmt w:val="bullet"/>
      <w:lvlText w:val=""/>
      <w:lvlJc w:val="left"/>
      <w:pPr>
        <w:ind w:left="4320" w:hanging="360"/>
      </w:pPr>
      <w:rPr>
        <w:rFonts w:hint="default" w:ascii="Wingdings" w:hAnsi="Wingdings"/>
      </w:rPr>
    </w:lvl>
    <w:lvl w:ilvl="6" w:tplc="C98A5A0C">
      <w:start w:val="1"/>
      <w:numFmt w:val="bullet"/>
      <w:lvlText w:val=""/>
      <w:lvlJc w:val="left"/>
      <w:pPr>
        <w:ind w:left="5040" w:hanging="360"/>
      </w:pPr>
      <w:rPr>
        <w:rFonts w:hint="default" w:ascii="Symbol" w:hAnsi="Symbol"/>
      </w:rPr>
    </w:lvl>
    <w:lvl w:ilvl="7" w:tplc="1040E45A">
      <w:start w:val="1"/>
      <w:numFmt w:val="bullet"/>
      <w:lvlText w:val="o"/>
      <w:lvlJc w:val="left"/>
      <w:pPr>
        <w:ind w:left="5760" w:hanging="360"/>
      </w:pPr>
      <w:rPr>
        <w:rFonts w:hint="default" w:ascii="Courier New" w:hAnsi="Courier New"/>
      </w:rPr>
    </w:lvl>
    <w:lvl w:ilvl="8" w:tplc="070A5E14">
      <w:start w:val="1"/>
      <w:numFmt w:val="bullet"/>
      <w:lvlText w:val=""/>
      <w:lvlJc w:val="left"/>
      <w:pPr>
        <w:ind w:left="6480" w:hanging="360"/>
      </w:pPr>
      <w:rPr>
        <w:rFonts w:hint="default" w:ascii="Wingdings" w:hAnsi="Wingdings"/>
      </w:rPr>
    </w:lvl>
  </w:abstractNum>
  <w:abstractNum w:abstractNumId="1" w15:restartNumberingAfterBreak="0">
    <w:nsid w:val="3631EB48"/>
    <w:multiLevelType w:val="hybridMultilevel"/>
    <w:tmpl w:val="DDE6407C"/>
    <w:lvl w:ilvl="0" w:tplc="2B9A20D8">
      <w:start w:val="1"/>
      <w:numFmt w:val="bullet"/>
      <w:lvlText w:val=""/>
      <w:lvlJc w:val="left"/>
      <w:pPr>
        <w:ind w:left="720" w:hanging="360"/>
      </w:pPr>
      <w:rPr>
        <w:rFonts w:hint="default" w:ascii="Symbol" w:hAnsi="Symbol"/>
      </w:rPr>
    </w:lvl>
    <w:lvl w:ilvl="1" w:tplc="6088D2D2">
      <w:start w:val="1"/>
      <w:numFmt w:val="bullet"/>
      <w:lvlText w:val="o"/>
      <w:lvlJc w:val="left"/>
      <w:pPr>
        <w:ind w:left="1440" w:hanging="360"/>
      </w:pPr>
      <w:rPr>
        <w:rFonts w:hint="default" w:ascii="Courier New" w:hAnsi="Courier New"/>
      </w:rPr>
    </w:lvl>
    <w:lvl w:ilvl="2" w:tplc="4F501422">
      <w:start w:val="1"/>
      <w:numFmt w:val="bullet"/>
      <w:lvlText w:val=""/>
      <w:lvlJc w:val="left"/>
      <w:pPr>
        <w:ind w:left="2160" w:hanging="360"/>
      </w:pPr>
      <w:rPr>
        <w:rFonts w:hint="default" w:ascii="Wingdings" w:hAnsi="Wingdings"/>
      </w:rPr>
    </w:lvl>
    <w:lvl w:ilvl="3" w:tplc="C4B00B5A">
      <w:start w:val="1"/>
      <w:numFmt w:val="bullet"/>
      <w:lvlText w:val=""/>
      <w:lvlJc w:val="left"/>
      <w:pPr>
        <w:ind w:left="2880" w:hanging="360"/>
      </w:pPr>
      <w:rPr>
        <w:rFonts w:hint="default" w:ascii="Symbol" w:hAnsi="Symbol"/>
      </w:rPr>
    </w:lvl>
    <w:lvl w:ilvl="4" w:tplc="C47C8522">
      <w:start w:val="1"/>
      <w:numFmt w:val="bullet"/>
      <w:lvlText w:val="o"/>
      <w:lvlJc w:val="left"/>
      <w:pPr>
        <w:ind w:left="3600" w:hanging="360"/>
      </w:pPr>
      <w:rPr>
        <w:rFonts w:hint="default" w:ascii="Courier New" w:hAnsi="Courier New"/>
      </w:rPr>
    </w:lvl>
    <w:lvl w:ilvl="5" w:tplc="ED8A7CB2">
      <w:start w:val="1"/>
      <w:numFmt w:val="bullet"/>
      <w:lvlText w:val=""/>
      <w:lvlJc w:val="left"/>
      <w:pPr>
        <w:ind w:left="4320" w:hanging="360"/>
      </w:pPr>
      <w:rPr>
        <w:rFonts w:hint="default" w:ascii="Wingdings" w:hAnsi="Wingdings"/>
      </w:rPr>
    </w:lvl>
    <w:lvl w:ilvl="6" w:tplc="48B4726C">
      <w:start w:val="1"/>
      <w:numFmt w:val="bullet"/>
      <w:lvlText w:val=""/>
      <w:lvlJc w:val="left"/>
      <w:pPr>
        <w:ind w:left="5040" w:hanging="360"/>
      </w:pPr>
      <w:rPr>
        <w:rFonts w:hint="default" w:ascii="Symbol" w:hAnsi="Symbol"/>
      </w:rPr>
    </w:lvl>
    <w:lvl w:ilvl="7" w:tplc="1076EFCC">
      <w:start w:val="1"/>
      <w:numFmt w:val="bullet"/>
      <w:lvlText w:val="o"/>
      <w:lvlJc w:val="left"/>
      <w:pPr>
        <w:ind w:left="5760" w:hanging="360"/>
      </w:pPr>
      <w:rPr>
        <w:rFonts w:hint="default" w:ascii="Courier New" w:hAnsi="Courier New"/>
      </w:rPr>
    </w:lvl>
    <w:lvl w:ilvl="8" w:tplc="1936A86C">
      <w:start w:val="1"/>
      <w:numFmt w:val="bullet"/>
      <w:lvlText w:val=""/>
      <w:lvlJc w:val="left"/>
      <w:pPr>
        <w:ind w:left="6480" w:hanging="360"/>
      </w:pPr>
      <w:rPr>
        <w:rFonts w:hint="default" w:ascii="Wingdings" w:hAnsi="Wingdings"/>
      </w:rPr>
    </w:lvl>
  </w:abstractNum>
  <w:abstractNum w:abstractNumId="2" w15:restartNumberingAfterBreak="0">
    <w:nsid w:val="76F33ABB"/>
    <w:multiLevelType w:val="hybridMultilevel"/>
    <w:tmpl w:val="301CFFEE"/>
    <w:lvl w:ilvl="0" w:tplc="FF3A0AF4">
      <w:start w:val="1"/>
      <w:numFmt w:val="bullet"/>
      <w:lvlText w:val=""/>
      <w:lvlJc w:val="left"/>
      <w:pPr>
        <w:ind w:left="720" w:hanging="360"/>
      </w:pPr>
      <w:rPr>
        <w:rFonts w:hint="default" w:ascii="Symbol" w:hAnsi="Symbol"/>
      </w:rPr>
    </w:lvl>
    <w:lvl w:ilvl="1" w:tplc="93D2559E">
      <w:start w:val="1"/>
      <w:numFmt w:val="bullet"/>
      <w:lvlText w:val="o"/>
      <w:lvlJc w:val="left"/>
      <w:pPr>
        <w:ind w:left="1440" w:hanging="360"/>
      </w:pPr>
      <w:rPr>
        <w:rFonts w:hint="default" w:ascii="Courier New" w:hAnsi="Courier New"/>
      </w:rPr>
    </w:lvl>
    <w:lvl w:ilvl="2" w:tplc="13809C64">
      <w:start w:val="1"/>
      <w:numFmt w:val="bullet"/>
      <w:lvlText w:val=""/>
      <w:lvlJc w:val="left"/>
      <w:pPr>
        <w:ind w:left="2160" w:hanging="360"/>
      </w:pPr>
      <w:rPr>
        <w:rFonts w:hint="default" w:ascii="Wingdings" w:hAnsi="Wingdings"/>
      </w:rPr>
    </w:lvl>
    <w:lvl w:ilvl="3" w:tplc="40B0E9F8">
      <w:start w:val="1"/>
      <w:numFmt w:val="bullet"/>
      <w:lvlText w:val=""/>
      <w:lvlJc w:val="left"/>
      <w:pPr>
        <w:ind w:left="2880" w:hanging="360"/>
      </w:pPr>
      <w:rPr>
        <w:rFonts w:hint="default" w:ascii="Symbol" w:hAnsi="Symbol"/>
      </w:rPr>
    </w:lvl>
    <w:lvl w:ilvl="4" w:tplc="90EC1060">
      <w:start w:val="1"/>
      <w:numFmt w:val="bullet"/>
      <w:lvlText w:val="o"/>
      <w:lvlJc w:val="left"/>
      <w:pPr>
        <w:ind w:left="3600" w:hanging="360"/>
      </w:pPr>
      <w:rPr>
        <w:rFonts w:hint="default" w:ascii="Courier New" w:hAnsi="Courier New"/>
      </w:rPr>
    </w:lvl>
    <w:lvl w:ilvl="5" w:tplc="8A58BEC2">
      <w:start w:val="1"/>
      <w:numFmt w:val="bullet"/>
      <w:lvlText w:val=""/>
      <w:lvlJc w:val="left"/>
      <w:pPr>
        <w:ind w:left="4320" w:hanging="360"/>
      </w:pPr>
      <w:rPr>
        <w:rFonts w:hint="default" w:ascii="Wingdings" w:hAnsi="Wingdings"/>
      </w:rPr>
    </w:lvl>
    <w:lvl w:ilvl="6" w:tplc="9DB6EDF6">
      <w:start w:val="1"/>
      <w:numFmt w:val="bullet"/>
      <w:lvlText w:val=""/>
      <w:lvlJc w:val="left"/>
      <w:pPr>
        <w:ind w:left="5040" w:hanging="360"/>
      </w:pPr>
      <w:rPr>
        <w:rFonts w:hint="default" w:ascii="Symbol" w:hAnsi="Symbol"/>
      </w:rPr>
    </w:lvl>
    <w:lvl w:ilvl="7" w:tplc="B4A24ADC">
      <w:start w:val="1"/>
      <w:numFmt w:val="bullet"/>
      <w:lvlText w:val="o"/>
      <w:lvlJc w:val="left"/>
      <w:pPr>
        <w:ind w:left="5760" w:hanging="360"/>
      </w:pPr>
      <w:rPr>
        <w:rFonts w:hint="default" w:ascii="Courier New" w:hAnsi="Courier New"/>
      </w:rPr>
    </w:lvl>
    <w:lvl w:ilvl="8" w:tplc="48427C04">
      <w:start w:val="1"/>
      <w:numFmt w:val="bullet"/>
      <w:lvlText w:val=""/>
      <w:lvlJc w:val="left"/>
      <w:pPr>
        <w:ind w:left="6480" w:hanging="360"/>
      </w:pPr>
      <w:rPr>
        <w:rFonts w:hint="default" w:ascii="Wingdings" w:hAnsi="Wingdings"/>
      </w:rPr>
    </w:lvl>
  </w:abstractNum>
  <w:num w:numId="8">
    <w:abstractNumId w:val="7"/>
  </w:num>
  <w:num w:numId="7">
    <w:abstractNumId w:val="6"/>
  </w:num>
  <w:num w:numId="6">
    <w:abstractNumId w:val="5"/>
  </w:num>
  <w:num w:numId="5">
    <w:abstractNumId w:val="4"/>
  </w:num>
  <w:num w:numId="4">
    <w:abstractNumId w:val="3"/>
  </w:num>
  <w:num w:numId="1" w16cid:durableId="921452008">
    <w:abstractNumId w:val="0"/>
  </w:num>
  <w:num w:numId="2" w16cid:durableId="335571621">
    <w:abstractNumId w:val="1"/>
  </w:num>
  <w:num w:numId="3" w16cid:durableId="1473785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CCC26A"/>
    <w:rsid w:val="00130560"/>
    <w:rsid w:val="001B3FAB"/>
    <w:rsid w:val="00215B73"/>
    <w:rsid w:val="00275D64"/>
    <w:rsid w:val="002C0BFE"/>
    <w:rsid w:val="003748DD"/>
    <w:rsid w:val="00500F05"/>
    <w:rsid w:val="005C6998"/>
    <w:rsid w:val="00796945"/>
    <w:rsid w:val="00806917"/>
    <w:rsid w:val="00A94398"/>
    <w:rsid w:val="00AD1D3F"/>
    <w:rsid w:val="00AD3780"/>
    <w:rsid w:val="00B477CA"/>
    <w:rsid w:val="00BE0C8A"/>
    <w:rsid w:val="00C038C9"/>
    <w:rsid w:val="00C7598C"/>
    <w:rsid w:val="00CA7EAE"/>
    <w:rsid w:val="00CC27E4"/>
    <w:rsid w:val="00D844E3"/>
    <w:rsid w:val="00EB5613"/>
    <w:rsid w:val="00F25282"/>
    <w:rsid w:val="00F62F49"/>
    <w:rsid w:val="027DBC7B"/>
    <w:rsid w:val="02DB27F8"/>
    <w:rsid w:val="04231AE5"/>
    <w:rsid w:val="04BEEB49"/>
    <w:rsid w:val="0535D1A4"/>
    <w:rsid w:val="05EDDC49"/>
    <w:rsid w:val="07C099A1"/>
    <w:rsid w:val="0B1271D8"/>
    <w:rsid w:val="0BA49299"/>
    <w:rsid w:val="0E0683B8"/>
    <w:rsid w:val="0F264A29"/>
    <w:rsid w:val="0F85C1BD"/>
    <w:rsid w:val="1302EAC5"/>
    <w:rsid w:val="14C14EA5"/>
    <w:rsid w:val="1679846E"/>
    <w:rsid w:val="1ACCC26A"/>
    <w:rsid w:val="1AF63E0F"/>
    <w:rsid w:val="1B8E614B"/>
    <w:rsid w:val="1C74D08F"/>
    <w:rsid w:val="1D79EFE3"/>
    <w:rsid w:val="1DC9EE95"/>
    <w:rsid w:val="1E62F6DE"/>
    <w:rsid w:val="20799A6F"/>
    <w:rsid w:val="20C3EAE4"/>
    <w:rsid w:val="2154D895"/>
    <w:rsid w:val="221204DA"/>
    <w:rsid w:val="23953D0D"/>
    <w:rsid w:val="242A4053"/>
    <w:rsid w:val="2541ADF3"/>
    <w:rsid w:val="25C2A87B"/>
    <w:rsid w:val="274603E8"/>
    <w:rsid w:val="2793C286"/>
    <w:rsid w:val="28335DFA"/>
    <w:rsid w:val="2919E517"/>
    <w:rsid w:val="2955B32C"/>
    <w:rsid w:val="2C6D8861"/>
    <w:rsid w:val="2FD4FA76"/>
    <w:rsid w:val="37F4C0E4"/>
    <w:rsid w:val="37F79D78"/>
    <w:rsid w:val="38207656"/>
    <w:rsid w:val="387F23B8"/>
    <w:rsid w:val="38929D82"/>
    <w:rsid w:val="39C21F95"/>
    <w:rsid w:val="3C01DC80"/>
    <w:rsid w:val="3D7A406B"/>
    <w:rsid w:val="3F56568A"/>
    <w:rsid w:val="406D1080"/>
    <w:rsid w:val="44507C67"/>
    <w:rsid w:val="44CEB05E"/>
    <w:rsid w:val="471A8BF1"/>
    <w:rsid w:val="49C0EB2C"/>
    <w:rsid w:val="4C38600A"/>
    <w:rsid w:val="4D48AE92"/>
    <w:rsid w:val="4DD59EBC"/>
    <w:rsid w:val="4DFE239F"/>
    <w:rsid w:val="4E4B1729"/>
    <w:rsid w:val="522D4269"/>
    <w:rsid w:val="5294763C"/>
    <w:rsid w:val="54A3F0E1"/>
    <w:rsid w:val="54D57E0A"/>
    <w:rsid w:val="5554FACB"/>
    <w:rsid w:val="55B1AE40"/>
    <w:rsid w:val="59CFF630"/>
    <w:rsid w:val="59FACF0A"/>
    <w:rsid w:val="5A767167"/>
    <w:rsid w:val="5B1E17F9"/>
    <w:rsid w:val="5BC7021A"/>
    <w:rsid w:val="5CC74407"/>
    <w:rsid w:val="5F213A01"/>
    <w:rsid w:val="5F56C5D9"/>
    <w:rsid w:val="5FC6F1CE"/>
    <w:rsid w:val="5FF2C29C"/>
    <w:rsid w:val="6214FCCD"/>
    <w:rsid w:val="62ED163B"/>
    <w:rsid w:val="646FB9E0"/>
    <w:rsid w:val="6487F674"/>
    <w:rsid w:val="64995E9E"/>
    <w:rsid w:val="65257A1D"/>
    <w:rsid w:val="65B6BE65"/>
    <w:rsid w:val="66F7F6E1"/>
    <w:rsid w:val="674EEBB0"/>
    <w:rsid w:val="6848B866"/>
    <w:rsid w:val="68493E75"/>
    <w:rsid w:val="685792E7"/>
    <w:rsid w:val="6B1DF8B5"/>
    <w:rsid w:val="6BF567B3"/>
    <w:rsid w:val="7103CE1E"/>
    <w:rsid w:val="711377AB"/>
    <w:rsid w:val="7155C29B"/>
    <w:rsid w:val="71A6C551"/>
    <w:rsid w:val="73584DEA"/>
    <w:rsid w:val="77DA1523"/>
    <w:rsid w:val="79237907"/>
    <w:rsid w:val="79614E76"/>
    <w:rsid w:val="7B3E6A06"/>
    <w:rsid w:val="7C5F64C3"/>
    <w:rsid w:val="7CFDFB9F"/>
    <w:rsid w:val="7D79AF05"/>
    <w:rsid w:val="7DCED4A2"/>
    <w:rsid w:val="7E672238"/>
    <w:rsid w:val="7F731A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99102"/>
  <w15:chartTrackingRefBased/>
  <w15:docId w15:val="{51E21533-A5CD-43DA-B620-CF5371CAF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l-G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uiPriority w:val="9"/>
    <w:unhideWhenUsed/>
    <w:qFormat/>
    <w:rsid w:val="38929D8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uiPriority w:val="9"/>
    <w:unhideWhenUsed/>
    <w:qFormat/>
    <w:rsid w:val="38929D82"/>
    <w:pPr>
      <w:keepNext/>
      <w:keepLines/>
      <w:spacing w:before="160" w:after="80"/>
      <w:outlineLvl w:val="2"/>
    </w:pPr>
    <w:rPr>
      <w:rFonts w:eastAsiaTheme="majorEastAsia" w:cstheme="majorBidi"/>
      <w:color w:val="0F476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38929D82"/>
    <w:pPr>
      <w:ind w:left="720"/>
      <w:contextualSpacing/>
    </w:pPr>
  </w:style>
  <w:style w:type="character" w:styleId="Hyperlink">
    <w:uiPriority w:val="99"/>
    <w:name w:val="Hyperlink"/>
    <w:basedOn w:val="DefaultParagraphFont"/>
    <w:unhideWhenUsed/>
    <w:rsid w:val="64995E9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yperlink" Target="https://doi.org/10.1177/00302228221133437" TargetMode="External" Id="R2f18f6b1f0c14732" /><Relationship Type="http://schemas.openxmlformats.org/officeDocument/2006/relationships/hyperlink" Target="https://doi.org/10.1186/1472-684X-9-17" TargetMode="External" Id="R17a68ba18f31420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eleni vlassi</dc:creator>
  <keywords/>
  <dc:description/>
  <lastModifiedBy>eleni vlassi</lastModifiedBy>
  <revision>22</revision>
  <dcterms:created xsi:type="dcterms:W3CDTF">2026-06-15T00:26:00.0000000Z</dcterms:created>
  <dcterms:modified xsi:type="dcterms:W3CDTF">2026-06-15T13:50:02.0804381Z</dcterms:modified>
</coreProperties>
</file>